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D" w:rsidRDefault="002344ED" w:rsidP="002344ED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7</w:t>
      </w:r>
    </w:p>
    <w:p w:rsidR="002344ED" w:rsidRDefault="002344ED" w:rsidP="002344ED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2344ED" w:rsidRDefault="002344ED" w:rsidP="002344ED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21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ru-RU"/>
        </w:rPr>
        <w:t>հոկտեմբերի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4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419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2344ED" w:rsidRDefault="002344ED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 w:rsidR="00AD1C5A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92</w:t>
      </w:r>
    </w:p>
    <w:p w:rsidR="00C003D6" w:rsidRDefault="00C003D6" w:rsidP="00C003D6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C003D6" w:rsidRDefault="00EF737F" w:rsidP="00EF737F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2019 թ.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դեկտեմբերի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26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428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C003D6" w:rsidRDefault="00C003D6" w:rsidP="00C003D6">
      <w:pPr>
        <w:ind w:left="7920" w:firstLine="540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3B6118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</w:p>
    <w:p w:rsidR="0043405C" w:rsidRPr="00410B9F" w:rsidRDefault="0043405C" w:rsidP="005165A5">
      <w:pPr>
        <w:spacing w:after="0" w:line="360" w:lineRule="auto"/>
        <w:ind w:firstLine="709"/>
        <w:jc w:val="center"/>
        <w:rPr>
          <w:rFonts w:ascii="GHEA Grapalat" w:hAnsi="GHEA Grapalat" w:cs="Arial"/>
          <w:b/>
          <w:color w:val="0D0D0D"/>
          <w:sz w:val="24"/>
          <w:szCs w:val="24"/>
        </w:rPr>
      </w:pP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>Պ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ԵՏԱԿԱՆ ԳՈՒՅՔԻ ԿԱՌԱՎԱՐՄԱՆ ԿՈՄԻՏԵԻ</w:t>
      </w: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ՊԱՅՄԱՆԱԳՐԵՐԻ ԿՆՔՄԱՆ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ԵՎ</w:t>
      </w: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 ՊԱՅՄԱՆԱԳՐԱՅԻՆ ՊԱՐՏԱՎՈՐՈՒԹՅՈՒՆՆԵՐԻ ՀՍԿՈՂՈՒԹՅԱՆ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ԲԱԺՆԻ</w:t>
      </w:r>
    </w:p>
    <w:p w:rsidR="006271B6" w:rsidRPr="00410B9F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4"/>
          <w:szCs w:val="24"/>
          <w:lang w:val="hy-AM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ԱՎԱԳ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ՄԱՍՆԱԳԵՏ</w:t>
      </w:r>
    </w:p>
    <w:p w:rsidR="005909DB" w:rsidRPr="00410B9F" w:rsidRDefault="005909DB" w:rsidP="005165A5">
      <w:pPr>
        <w:pStyle w:val="ListParagraph"/>
        <w:spacing w:line="360" w:lineRule="auto"/>
        <w:ind w:right="9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905"/>
      </w:tblGrid>
      <w:tr w:rsidR="005909DB" w:rsidRPr="00410B9F" w:rsidTr="00BC2157">
        <w:tc>
          <w:tcPr>
            <w:tcW w:w="10485" w:type="dxa"/>
          </w:tcPr>
          <w:p w:rsidR="005909DB" w:rsidRPr="00C003D6" w:rsidRDefault="003B6118" w:rsidP="005165A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3B6118" w:rsidRPr="007F4424" w:rsidTr="00BC2157">
        <w:tc>
          <w:tcPr>
            <w:tcW w:w="10485" w:type="dxa"/>
          </w:tcPr>
          <w:p w:rsidR="003B6118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C70F29" w:rsidRPr="002344ED" w:rsidRDefault="00C70F29" w:rsidP="00D865C0">
            <w:pPr>
              <w:spacing w:after="120" w:line="276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այսուհետ</w:t>
            </w:r>
            <w:proofErr w:type="spellEnd"/>
            <w:r w:rsidRPr="00D865C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) 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պայմանագրերի կնքման և պայմանագրային պարտավորությունների հսկողության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) </w:t>
            </w:r>
            <w:r w:rsidR="00A30322" w:rsidRPr="00D865C0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7E4842" w:rsidRPr="00D865C0">
              <w:rPr>
                <w:rFonts w:ascii="GHEA Grapalat" w:hAnsi="GHEA Grapalat"/>
                <w:sz w:val="24"/>
                <w:szCs w:val="24"/>
                <w:lang w:val="hy-AM"/>
              </w:rPr>
              <w:t>վագ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D865C0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(22-3-25.5-</w:t>
            </w:r>
            <w:r w:rsidRPr="00D865C0"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4-</w:t>
            </w:r>
            <w:r w:rsidR="002344ED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  <w:r w:rsidR="00EB18D1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:</w:t>
            </w:r>
          </w:p>
          <w:p w:rsidR="003B6118" w:rsidRPr="00C003D6" w:rsidRDefault="00C70F29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</w:t>
            </w:r>
            <w:r w:rsidR="003B6118" w:rsidRPr="00C003D6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3B6118"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մասնագետը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անմիջական</w:t>
            </w:r>
            <w:proofErr w:type="spellEnd"/>
            <w:r w:rsidR="00C85229"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ենթակա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և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հաշվետու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է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պետին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>: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</w:p>
          <w:p w:rsidR="00973E83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Փոխարինող պաշտոնի կամ պաշտոնների </w:t>
            </w:r>
            <w:r w:rsidR="00973E83" w:rsidRPr="00C003D6">
              <w:rPr>
                <w:rFonts w:ascii="GHEA Grapalat" w:hAnsi="GHEA Grapalat"/>
                <w:b/>
                <w:sz w:val="24"/>
                <w:szCs w:val="24"/>
              </w:rPr>
              <w:t>անվանումները</w:t>
            </w:r>
          </w:p>
          <w:p w:rsidR="003B6118" w:rsidRPr="00C003D6" w:rsidRDefault="00C70F29" w:rsidP="005165A5">
            <w:pPr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նրան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փոխարինում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793015"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մասնագետներից մեկը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</w:t>
            </w:r>
            <w:r w:rsidR="003B6118" w:rsidRPr="00C003D6">
              <w:rPr>
                <w:rFonts w:ascii="GHEA Grapalat" w:hAnsi="GHEA Grapalat"/>
                <w:sz w:val="24"/>
                <w:szCs w:val="24"/>
              </w:rPr>
              <w:t>աժնի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4842" w:rsidRPr="00C003D6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ը։</w:t>
            </w:r>
          </w:p>
          <w:p w:rsidR="00973E83" w:rsidRPr="00C003D6" w:rsidRDefault="00973E83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Աշխատավայրը</w:t>
            </w:r>
            <w:proofErr w:type="spellEnd"/>
          </w:p>
          <w:p w:rsidR="00973E83" w:rsidRPr="002344ED" w:rsidRDefault="00C70F29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 xml:space="preserve">, ք. Երևան,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Կենտրոն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>, Տիգրան Մեծի 4:</w:t>
            </w:r>
          </w:p>
          <w:p w:rsidR="0009174C" w:rsidRPr="002344ED" w:rsidRDefault="0009174C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73E83" w:rsidRPr="007F4424" w:rsidTr="00BC2157">
        <w:tc>
          <w:tcPr>
            <w:tcW w:w="10485" w:type="dxa"/>
          </w:tcPr>
          <w:p w:rsidR="00973E83" w:rsidRPr="003B2E6C" w:rsidRDefault="00973E83" w:rsidP="003B2E6C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Պաշտոնի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</w:p>
          <w:p w:rsidR="00973E83" w:rsidRPr="003B2E6C" w:rsidRDefault="00973E83" w:rsidP="003B2E6C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բնույթը, իրավունքները, պարտականությունները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Իրականացնում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112A55" w:rsidRPr="007F442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112A55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112A55" w:rsidRPr="00112A55" w:rsidRDefault="00112A55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հաշվառում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ծառայությունների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մատուցման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այլ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ըստ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տարիների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կտրվածքով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ունեցող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փաստացի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տեսողական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նպատակով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իրականացվող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տեղազննություններին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ներդրումային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սոցիալական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երաշխիքների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ապահովման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առնչվող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մանը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DE1FC9" w:rsidRPr="002F18E8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1FC9" w:rsidRPr="00E7362E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Իրավունքները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կատարելու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համապատասխան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իրականացմանը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ամրագրված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հիմնավորող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փաստաթղթերով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41636F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կիսամյակային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տարեկան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կազմման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ծառայողների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անցկացվող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քննություններին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DE1FC9" w:rsidRPr="00E7362E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Պարտականությունները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112A55" w:rsidRPr="008109DD" w:rsidRDefault="00112A55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առուվաճառքի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իրավական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ակտերի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պահանջներից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ելնելով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նախապատարաստման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ներա</w:t>
            </w:r>
            <w:r w:rsidR="002A142E">
              <w:rPr>
                <w:rFonts w:ascii="GHEA Grapalat" w:hAnsi="GHEA Grapalat" w:cs="Sylfaen"/>
                <w:sz w:val="24"/>
                <w:szCs w:val="24"/>
                <w:lang w:val="en-US"/>
              </w:rPr>
              <w:t>ռ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վաճառվող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գրավադրման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ենթակա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դրույթներ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նոտարական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գրասենյակներում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անշարժ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կադաստրի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տարածքային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առանձնացված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ստորաբաժանումներում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անունից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հանդես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գալու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լիազորագրեր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F4456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հաշվետվությունները</w:t>
            </w:r>
            <w:proofErr w:type="spellEnd"/>
            <w:r w:rsidR="00DF4456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ներկայացնել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տեղեկատվություն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41636F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կազմել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70546" w:rsidRPr="002A142E" w:rsidRDefault="001F714A" w:rsidP="00901E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Ծառայողական քննություն վարողին է ներկայացնում ծառայողական քննության վերաբերյալ իր կողմից արված դիտարկումները</w:t>
            </w:r>
            <w:r w:rsidR="00DE1FC9"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09174C" w:rsidRPr="002344ED" w:rsidRDefault="0009174C" w:rsidP="00D70546">
            <w:pPr>
              <w:pStyle w:val="ListParagraph"/>
              <w:spacing w:after="0" w:line="240" w:lineRule="auto"/>
              <w:ind w:left="78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73E83" w:rsidRPr="00410B9F" w:rsidTr="00BC2157">
        <w:tc>
          <w:tcPr>
            <w:tcW w:w="10485" w:type="dxa"/>
          </w:tcPr>
          <w:p w:rsidR="00C003D6" w:rsidRPr="002344ED" w:rsidRDefault="00C003D6" w:rsidP="00C003D6">
            <w:pPr>
              <w:pStyle w:val="ListParagraph"/>
              <w:spacing w:after="0" w:line="240" w:lineRule="auto"/>
              <w:ind w:right="9" w:hanging="294"/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2344ED">
              <w:rPr>
                <w:rFonts w:ascii="GHEA Grapalat" w:hAnsi="GHEA Grapalat"/>
                <w:b/>
                <w:sz w:val="24"/>
                <w:lang w:val="hy-AM"/>
              </w:rPr>
              <w:lastRenderedPageBreak/>
              <w:t>3.Պաշտոնին ներկայացվող պահանջները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  <w:lang w:val="hy-AM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3.1. Կրթություն, որակավորման </w:t>
            </w:r>
            <w:r w:rsidR="00C70F29" w:rsidRPr="002344E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 </w:t>
            </w: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աստիճանը</w:t>
            </w:r>
          </w:p>
          <w:tbl>
            <w:tblPr>
              <w:tblStyle w:val="TableGrid"/>
              <w:tblW w:w="10679" w:type="dxa"/>
              <w:tblLook w:val="04A0" w:firstRow="1" w:lastRow="0" w:firstColumn="1" w:lastColumn="0" w:noHBand="0" w:noVBand="1"/>
            </w:tblPr>
            <w:tblGrid>
              <w:gridCol w:w="356"/>
              <w:gridCol w:w="2515"/>
              <w:gridCol w:w="2409"/>
              <w:gridCol w:w="2365"/>
              <w:gridCol w:w="3034"/>
            </w:tblGrid>
            <w:tr w:rsidR="00322CC5" w:rsidTr="001F114A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լրագրություն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տեղեկատվական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5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CC5" w:rsidRPr="00E84904" w:rsidRDefault="00322CC5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Գ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ո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րծարարություն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322CC5" w:rsidTr="001F114A">
              <w:trPr>
                <w:trHeight w:val="778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վարքաբանական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CC5" w:rsidRDefault="00322CC5" w:rsidP="001F114A">
                  <w:pPr>
                    <w:ind w:hanging="132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Գործարարություն</w:t>
                  </w:r>
                  <w:proofErr w:type="spellEnd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 </w:t>
                  </w: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E84904" w:rsidRDefault="00322CC5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22CC5" w:rsidTr="001F114A">
              <w:tc>
                <w:tcPr>
                  <w:tcW w:w="356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15" w:type="dxa"/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2409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Տնտեսագիտություն</w:t>
                  </w:r>
                  <w:proofErr w:type="spellEnd"/>
                </w:p>
              </w:tc>
              <w:tc>
                <w:tcPr>
                  <w:tcW w:w="2365" w:type="dxa"/>
                  <w:vAlign w:val="center"/>
                </w:tcPr>
                <w:p w:rsidR="00322CC5" w:rsidRDefault="00322CC5" w:rsidP="001F114A">
                  <w:pPr>
                    <w:spacing w:before="240"/>
                    <w:ind w:hanging="296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4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41636F" w:rsidTr="001F114A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F6273A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մասնագիտությունը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E84904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Default="0041636F" w:rsidP="001F114A">
                  <w:pPr>
                    <w:spacing w:before="240"/>
                    <w:ind w:hanging="296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Իրավագիտություն</w:t>
                  </w:r>
                  <w:proofErr w:type="spellEnd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1636F" w:rsidRP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lang w:eastAsia="ru-RU"/>
                    </w:rPr>
                  </w:pP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(042101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6,  042101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7)</w:t>
                  </w:r>
                </w:p>
                <w:p w:rsidR="0041636F" w:rsidRPr="00943987" w:rsidRDefault="0041636F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C70F29" w:rsidRDefault="00C70F29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</w:rPr>
            </w:pPr>
          </w:p>
          <w:p w:rsidR="00C003D6" w:rsidRPr="00B47C1F" w:rsidRDefault="00C003D6" w:rsidP="00C003D6">
            <w:pPr>
              <w:ind w:firstLine="426"/>
              <w:rPr>
                <w:rFonts w:ascii="GHEA Grapalat" w:eastAsia="Times New Roman" w:hAnsi="GHEA Grapalat"/>
                <w:color w:val="000000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3.2. Մասնագիտական գիտելիքները</w:t>
            </w:r>
          </w:p>
          <w:p w:rsidR="00C003D6" w:rsidRPr="008B4DB9" w:rsidRDefault="00C003D6" w:rsidP="00C003D6">
            <w:pPr>
              <w:pStyle w:val="ListParagraph"/>
              <w:spacing w:after="0" w:line="240" w:lineRule="auto"/>
              <w:ind w:left="0" w:firstLine="426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:rsidR="00C003D6" w:rsidRPr="002344ED" w:rsidRDefault="00C003D6" w:rsidP="00C003D6">
            <w:pPr>
              <w:ind w:right="9" w:firstLine="426"/>
              <w:jc w:val="both"/>
              <w:rPr>
                <w:rFonts w:ascii="GHEA Grapalat" w:hAnsi="GHEA Grapalat" w:cs="Sylfaen"/>
                <w:lang w:val="hy-AM"/>
              </w:rPr>
            </w:pPr>
            <w:r w:rsidRPr="002344ED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գիտելիքներ: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left="787" w:right="9" w:hanging="743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lang w:val="hy-AM"/>
              </w:rPr>
            </w:pPr>
            <w:r w:rsidRPr="002344ED">
              <w:rPr>
                <w:rFonts w:ascii="GHEA Grapalat" w:hAnsi="GHEA Grapalat" w:cs="Sylfaen"/>
                <w:b/>
                <w:sz w:val="24"/>
                <w:lang w:val="hy-AM"/>
              </w:rPr>
              <w:t>3.3 Ա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>շխատանքային ստաժը</w:t>
            </w:r>
            <w:r w:rsidRPr="002344ED">
              <w:rPr>
                <w:rFonts w:ascii="GHEA Grapalat" w:hAnsi="GHEA Grapalat"/>
                <w:b/>
                <w:sz w:val="24"/>
                <w:lang w:val="hy-AM"/>
              </w:rPr>
              <w:t>,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 xml:space="preserve"> աշխատանքի բնագավառում փորձը</w:t>
            </w:r>
            <w:r w:rsidRPr="002344ED">
              <w:rPr>
                <w:rFonts w:ascii="GHEA Grapalat" w:hAnsi="GHEA Grapalat"/>
                <w:lang w:val="hy-AM"/>
              </w:rPr>
              <w:t xml:space="preserve"> </w:t>
            </w: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19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իրավունքի կամ </w:t>
            </w:r>
            <w:r w:rsidR="00CF0933" w:rsidRPr="00E0283C">
              <w:rPr>
                <w:rFonts w:ascii="GHEA Grapalat" w:eastAsia="Times New Roman" w:hAnsi="GHEA Grapalat" w:cstheme="minorBidi"/>
                <w:color w:val="000000"/>
                <w:sz w:val="24"/>
                <w:szCs w:val="24"/>
                <w:lang w:val="hy-AM"/>
              </w:rPr>
              <w:t>տնտեսագիտության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բնագավառ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ներ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ում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`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C003D6" w:rsidRPr="002344ED" w:rsidRDefault="00C003D6" w:rsidP="00C003D6">
            <w:pPr>
              <w:ind w:firstLine="419"/>
              <w:jc w:val="both"/>
              <w:rPr>
                <w:rFonts w:ascii="Arial Unicode" w:eastAsia="Times New Roman" w:hAnsi="Arial Unicode"/>
                <w:sz w:val="24"/>
                <w:szCs w:val="24"/>
                <w:lang w:val="hy-AM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</w:rPr>
            </w:pPr>
            <w:r w:rsidRPr="0039035F">
              <w:rPr>
                <w:rFonts w:ascii="GHEA Grapalat" w:hAnsi="GHEA Grapalat"/>
                <w:b/>
                <w:sz w:val="24"/>
              </w:rPr>
              <w:t>3.4</w:t>
            </w:r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 w:rsidRPr="0039035F">
              <w:rPr>
                <w:rFonts w:ascii="GHEA Grapalat" w:hAnsi="GHEA Grapalat"/>
                <w:b/>
                <w:sz w:val="24"/>
              </w:rPr>
              <w:t>Անհրաժեշտ կոմպետենցիաներ</w:t>
            </w: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Ընդհանրական</w:t>
            </w:r>
            <w:proofErr w:type="spellEnd"/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Խնդրի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լուծում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Հաշվետվությունների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մշակում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Տեղեկատվության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հավաքագրում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,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վերլուծություն</w:t>
            </w:r>
            <w:proofErr w:type="spellEnd"/>
          </w:p>
          <w:p w:rsidR="00D70546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Բարեվարքություն</w:t>
            </w:r>
            <w:proofErr w:type="spellEnd"/>
            <w:r w:rsidR="0009174C">
              <w:rPr>
                <w:rFonts w:ascii="GHEA Grapalat" w:hAnsi="GHEA Grapalat"/>
                <w:sz w:val="24"/>
                <w:lang w:val="en-US"/>
              </w:rPr>
              <w:t>:</w:t>
            </w:r>
          </w:p>
          <w:p w:rsidR="00D70546" w:rsidRPr="0039035F" w:rsidRDefault="00D70546" w:rsidP="00D70546">
            <w:pPr>
              <w:pStyle w:val="ListParagraph"/>
              <w:spacing w:after="0" w:line="240" w:lineRule="auto"/>
              <w:ind w:left="0" w:right="9"/>
              <w:jc w:val="both"/>
              <w:rPr>
                <w:rFonts w:ascii="GHEA Grapalat" w:hAnsi="GHEA Grapalat"/>
                <w:sz w:val="24"/>
                <w:lang w:val="en-US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Ընտրանքային</w:t>
            </w:r>
            <w:proofErr w:type="spellEnd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-142" w:right="9" w:firstLine="47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1. Բանակցությունների 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2. Փոփոխությունների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3. Կոնֆլիկտների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Բողոքների բավարարում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Ժամանակի կառավարում</w:t>
            </w:r>
          </w:p>
          <w:p w:rsidR="00D70546" w:rsidRDefault="00840D0E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6</w:t>
            </w:r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Փաստաթղթերի նախապ</w:t>
            </w:r>
            <w:proofErr w:type="spellStart"/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ատրաստում</w:t>
            </w:r>
            <w:proofErr w:type="spellEnd"/>
            <w:r w:rsidR="0009174C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C70F29" w:rsidRPr="00C003D6" w:rsidRDefault="00C70F29" w:rsidP="00C70F29">
            <w:pPr>
              <w:shd w:val="clear" w:color="auto" w:fill="FFFFFF"/>
              <w:ind w:firstLine="375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9035F" w:rsidRPr="007F4424" w:rsidTr="00BC2157">
        <w:tc>
          <w:tcPr>
            <w:tcW w:w="10485" w:type="dxa"/>
          </w:tcPr>
          <w:p w:rsidR="004D35CB" w:rsidRPr="001F114A" w:rsidRDefault="004D35CB" w:rsidP="004D35CB">
            <w:pPr>
              <w:pStyle w:val="ListParagraph"/>
              <w:numPr>
                <w:ilvl w:val="0"/>
                <w:numId w:val="27"/>
              </w:numPr>
              <w:spacing w:after="0"/>
              <w:ind w:left="0" w:firstLine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824B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Կազմակերպական շրջանակ</w:t>
            </w:r>
          </w:p>
          <w:p w:rsidR="001F114A" w:rsidRPr="00BE03A9" w:rsidRDefault="001F114A" w:rsidP="001F114A">
            <w:pPr>
              <w:pStyle w:val="ListParagraph"/>
              <w:spacing w:after="0"/>
              <w:ind w:left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4D35CB" w:rsidRPr="005824B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4.1</w:t>
            </w: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1139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AD1C5A" w:rsidRPr="00AD1C5A" w:rsidRDefault="00AD1C5A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մասնակցության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և </w:t>
            </w: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միջանկյալ արդյունքի ստեղծման և ապահովման և մասնագիտական օժանդակության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4.3  Գործունեության ազդեցությունը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70DF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</w:t>
            </w:r>
            <w:r w:rsidR="001F114A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 xml:space="preserve"> </w:t>
            </w: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Շփումները և ներկայացուցչությունը</w:t>
            </w: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37A1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Pr="00A9004B" w:rsidRDefault="004D35CB" w:rsidP="00A9004B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</w:pPr>
            <w:r w:rsidRPr="00A9004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. Խնդիրների բարդությունը և դրանց լուծումը</w:t>
            </w:r>
          </w:p>
          <w:p w:rsidR="00A9004B" w:rsidRDefault="00A9004B" w:rsidP="00A9004B">
            <w:pPr>
              <w:pStyle w:val="ListParagraph"/>
              <w:spacing w:after="0"/>
              <w:ind w:left="0" w:right="9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D95B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  <w:p w:rsidR="00D814F5" w:rsidRPr="00C003D6" w:rsidRDefault="00D814F5" w:rsidP="004D35CB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BE2845" w:rsidRPr="00410B9F" w:rsidRDefault="00BE2845" w:rsidP="005165A5">
      <w:pPr>
        <w:pStyle w:val="ListParagraph"/>
        <w:spacing w:line="360" w:lineRule="auto"/>
        <w:ind w:right="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sectPr w:rsidR="00BE2845" w:rsidRPr="00410B9F" w:rsidSect="00C70F29">
      <w:pgSz w:w="12240" w:h="15840" w:code="1"/>
      <w:pgMar w:top="720" w:right="47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2C6"/>
    <w:multiLevelType w:val="hybridMultilevel"/>
    <w:tmpl w:val="A64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EFB"/>
    <w:multiLevelType w:val="hybridMultilevel"/>
    <w:tmpl w:val="D0EA4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3B3"/>
    <w:multiLevelType w:val="hybridMultilevel"/>
    <w:tmpl w:val="82BCF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B37BD0"/>
    <w:multiLevelType w:val="hybridMultilevel"/>
    <w:tmpl w:val="735C30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547C5A"/>
    <w:multiLevelType w:val="hybridMultilevel"/>
    <w:tmpl w:val="2522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6D81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C362F9"/>
    <w:multiLevelType w:val="hybridMultilevel"/>
    <w:tmpl w:val="63FAE66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C34BD9"/>
    <w:multiLevelType w:val="hybridMultilevel"/>
    <w:tmpl w:val="1936A42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075E"/>
    <w:multiLevelType w:val="hybridMultilevel"/>
    <w:tmpl w:val="884A0F5C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4607BB8"/>
    <w:multiLevelType w:val="hybridMultilevel"/>
    <w:tmpl w:val="44C24DE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6A33892"/>
    <w:multiLevelType w:val="hybridMultilevel"/>
    <w:tmpl w:val="09D4688E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81E"/>
    <w:multiLevelType w:val="multilevel"/>
    <w:tmpl w:val="A044D6D8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9" w:hanging="2160"/>
      </w:pPr>
      <w:rPr>
        <w:rFonts w:hint="default"/>
      </w:rPr>
    </w:lvl>
  </w:abstractNum>
  <w:abstractNum w:abstractNumId="13" w15:restartNumberingAfterBreak="0">
    <w:nsid w:val="3CD9080A"/>
    <w:multiLevelType w:val="hybridMultilevel"/>
    <w:tmpl w:val="EB8C1FAE"/>
    <w:lvl w:ilvl="0" w:tplc="E182D5D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F1BEB"/>
    <w:multiLevelType w:val="hybridMultilevel"/>
    <w:tmpl w:val="96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27F9B"/>
    <w:multiLevelType w:val="hybridMultilevel"/>
    <w:tmpl w:val="5128BB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2355BB"/>
    <w:multiLevelType w:val="hybridMultilevel"/>
    <w:tmpl w:val="E6CCE34C"/>
    <w:lvl w:ilvl="0" w:tplc="6DF25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2FC"/>
    <w:multiLevelType w:val="hybridMultilevel"/>
    <w:tmpl w:val="0464C584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46E86DCE"/>
    <w:multiLevelType w:val="hybridMultilevel"/>
    <w:tmpl w:val="B0BA687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52013C9D"/>
    <w:multiLevelType w:val="hybridMultilevel"/>
    <w:tmpl w:val="074A19B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86C75C8"/>
    <w:multiLevelType w:val="multilevel"/>
    <w:tmpl w:val="859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00323"/>
    <w:multiLevelType w:val="hybridMultilevel"/>
    <w:tmpl w:val="DA5A3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D7C2BA1"/>
    <w:multiLevelType w:val="hybridMultilevel"/>
    <w:tmpl w:val="B5E49C10"/>
    <w:lvl w:ilvl="0" w:tplc="178A6A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EAD58B4"/>
    <w:multiLevelType w:val="hybridMultilevel"/>
    <w:tmpl w:val="751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D425E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A57"/>
    <w:multiLevelType w:val="hybridMultilevel"/>
    <w:tmpl w:val="705848CC"/>
    <w:lvl w:ilvl="0" w:tplc="ECD66F6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6" w15:restartNumberingAfterBreak="0">
    <w:nsid w:val="638F34F2"/>
    <w:multiLevelType w:val="hybridMultilevel"/>
    <w:tmpl w:val="A656D9E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651F15B6"/>
    <w:multiLevelType w:val="hybridMultilevel"/>
    <w:tmpl w:val="2F2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3D41"/>
    <w:multiLevelType w:val="hybridMultilevel"/>
    <w:tmpl w:val="FE2A4B60"/>
    <w:lvl w:ilvl="0" w:tplc="2F88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80A8F"/>
    <w:multiLevelType w:val="hybridMultilevel"/>
    <w:tmpl w:val="7ED07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1F8B"/>
    <w:multiLevelType w:val="hybridMultilevel"/>
    <w:tmpl w:val="EC5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32" w15:restartNumberingAfterBreak="0">
    <w:nsid w:val="79987FC0"/>
    <w:multiLevelType w:val="hybridMultilevel"/>
    <w:tmpl w:val="801421C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3"/>
  </w:num>
  <w:num w:numId="5">
    <w:abstractNumId w:val="4"/>
  </w:num>
  <w:num w:numId="6">
    <w:abstractNumId w:val="0"/>
  </w:num>
  <w:num w:numId="7">
    <w:abstractNumId w:val="22"/>
  </w:num>
  <w:num w:numId="8">
    <w:abstractNumId w:val="3"/>
  </w:num>
  <w:num w:numId="9">
    <w:abstractNumId w:val="10"/>
  </w:num>
  <w:num w:numId="10">
    <w:abstractNumId w:val="19"/>
  </w:num>
  <w:num w:numId="11">
    <w:abstractNumId w:val="6"/>
  </w:num>
  <w:num w:numId="12">
    <w:abstractNumId w:val="25"/>
  </w:num>
  <w:num w:numId="13">
    <w:abstractNumId w:val="28"/>
  </w:num>
  <w:num w:numId="14">
    <w:abstractNumId w:val="8"/>
  </w:num>
  <w:num w:numId="15">
    <w:abstractNumId w:val="20"/>
  </w:num>
  <w:num w:numId="16">
    <w:abstractNumId w:val="24"/>
  </w:num>
  <w:num w:numId="17">
    <w:abstractNumId w:val="9"/>
  </w:num>
  <w:num w:numId="18">
    <w:abstractNumId w:val="2"/>
  </w:num>
  <w:num w:numId="19">
    <w:abstractNumId w:val="21"/>
  </w:num>
  <w:num w:numId="20">
    <w:abstractNumId w:val="18"/>
  </w:num>
  <w:num w:numId="21">
    <w:abstractNumId w:val="26"/>
  </w:num>
  <w:num w:numId="22">
    <w:abstractNumId w:val="5"/>
  </w:num>
  <w:num w:numId="23">
    <w:abstractNumId w:val="32"/>
  </w:num>
  <w:num w:numId="24">
    <w:abstractNumId w:val="15"/>
  </w:num>
  <w:num w:numId="25">
    <w:abstractNumId w:val="30"/>
  </w:num>
  <w:num w:numId="26">
    <w:abstractNumId w:val="12"/>
  </w:num>
  <w:num w:numId="27">
    <w:abstractNumId w:val="31"/>
  </w:num>
  <w:num w:numId="28">
    <w:abstractNumId w:val="17"/>
  </w:num>
  <w:num w:numId="29">
    <w:abstractNumId w:val="7"/>
  </w:num>
  <w:num w:numId="30">
    <w:abstractNumId w:val="13"/>
  </w:num>
  <w:num w:numId="31">
    <w:abstractNumId w:val="29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3A"/>
    <w:rsid w:val="000044CF"/>
    <w:rsid w:val="000127EB"/>
    <w:rsid w:val="000141CB"/>
    <w:rsid w:val="000179B1"/>
    <w:rsid w:val="000227B2"/>
    <w:rsid w:val="00042EC2"/>
    <w:rsid w:val="00051C67"/>
    <w:rsid w:val="000539F7"/>
    <w:rsid w:val="00060F52"/>
    <w:rsid w:val="0006776C"/>
    <w:rsid w:val="00071998"/>
    <w:rsid w:val="000748A1"/>
    <w:rsid w:val="0009174C"/>
    <w:rsid w:val="00093F6E"/>
    <w:rsid w:val="000957BC"/>
    <w:rsid w:val="000A103C"/>
    <w:rsid w:val="000C050C"/>
    <w:rsid w:val="000C577F"/>
    <w:rsid w:val="000D101A"/>
    <w:rsid w:val="000E40A8"/>
    <w:rsid w:val="000F3558"/>
    <w:rsid w:val="00112A55"/>
    <w:rsid w:val="00144E03"/>
    <w:rsid w:val="00147340"/>
    <w:rsid w:val="00150CDA"/>
    <w:rsid w:val="00151835"/>
    <w:rsid w:val="00162735"/>
    <w:rsid w:val="001B021D"/>
    <w:rsid w:val="001D1DF4"/>
    <w:rsid w:val="001D474C"/>
    <w:rsid w:val="001F114A"/>
    <w:rsid w:val="001F714A"/>
    <w:rsid w:val="002344ED"/>
    <w:rsid w:val="00251CBA"/>
    <w:rsid w:val="00257CDC"/>
    <w:rsid w:val="002A1181"/>
    <w:rsid w:val="002A142E"/>
    <w:rsid w:val="002B3006"/>
    <w:rsid w:val="002C507E"/>
    <w:rsid w:val="002F18E8"/>
    <w:rsid w:val="00305B5B"/>
    <w:rsid w:val="00320BEC"/>
    <w:rsid w:val="00322CC5"/>
    <w:rsid w:val="00375756"/>
    <w:rsid w:val="0039035F"/>
    <w:rsid w:val="003A633A"/>
    <w:rsid w:val="003B2E6C"/>
    <w:rsid w:val="003B6118"/>
    <w:rsid w:val="003C04D3"/>
    <w:rsid w:val="003C1A44"/>
    <w:rsid w:val="003E3175"/>
    <w:rsid w:val="003F7126"/>
    <w:rsid w:val="00410B9F"/>
    <w:rsid w:val="0041636F"/>
    <w:rsid w:val="00432780"/>
    <w:rsid w:val="0043405C"/>
    <w:rsid w:val="00434861"/>
    <w:rsid w:val="0045762C"/>
    <w:rsid w:val="00475190"/>
    <w:rsid w:val="004840E0"/>
    <w:rsid w:val="00495997"/>
    <w:rsid w:val="004C34A0"/>
    <w:rsid w:val="004C365C"/>
    <w:rsid w:val="004D35CB"/>
    <w:rsid w:val="00506488"/>
    <w:rsid w:val="005165A5"/>
    <w:rsid w:val="00520D62"/>
    <w:rsid w:val="005909DB"/>
    <w:rsid w:val="005B2738"/>
    <w:rsid w:val="005C17EB"/>
    <w:rsid w:val="005D3656"/>
    <w:rsid w:val="005E0F79"/>
    <w:rsid w:val="00613D4C"/>
    <w:rsid w:val="00623582"/>
    <w:rsid w:val="006271B6"/>
    <w:rsid w:val="006371EF"/>
    <w:rsid w:val="00657A02"/>
    <w:rsid w:val="00667C64"/>
    <w:rsid w:val="006765A1"/>
    <w:rsid w:val="006A41D5"/>
    <w:rsid w:val="006C138E"/>
    <w:rsid w:val="006C2069"/>
    <w:rsid w:val="006D190B"/>
    <w:rsid w:val="006D2BDE"/>
    <w:rsid w:val="0071575D"/>
    <w:rsid w:val="00737885"/>
    <w:rsid w:val="007505C0"/>
    <w:rsid w:val="00756F97"/>
    <w:rsid w:val="00793015"/>
    <w:rsid w:val="00795370"/>
    <w:rsid w:val="00797F56"/>
    <w:rsid w:val="007E4842"/>
    <w:rsid w:val="007F4424"/>
    <w:rsid w:val="00810675"/>
    <w:rsid w:val="008109DD"/>
    <w:rsid w:val="00823A0C"/>
    <w:rsid w:val="00827C33"/>
    <w:rsid w:val="00840D0E"/>
    <w:rsid w:val="008438EA"/>
    <w:rsid w:val="00855A41"/>
    <w:rsid w:val="00865E1B"/>
    <w:rsid w:val="00875E93"/>
    <w:rsid w:val="00891BDA"/>
    <w:rsid w:val="008C1EE3"/>
    <w:rsid w:val="008C662C"/>
    <w:rsid w:val="008F01E0"/>
    <w:rsid w:val="00900743"/>
    <w:rsid w:val="00914B30"/>
    <w:rsid w:val="0094353A"/>
    <w:rsid w:val="00943987"/>
    <w:rsid w:val="00960576"/>
    <w:rsid w:val="00973E83"/>
    <w:rsid w:val="009971C6"/>
    <w:rsid w:val="009A6392"/>
    <w:rsid w:val="009D7472"/>
    <w:rsid w:val="00A05230"/>
    <w:rsid w:val="00A13B65"/>
    <w:rsid w:val="00A27FB0"/>
    <w:rsid w:val="00A30322"/>
    <w:rsid w:val="00A35E2D"/>
    <w:rsid w:val="00A363A0"/>
    <w:rsid w:val="00A636F4"/>
    <w:rsid w:val="00A64482"/>
    <w:rsid w:val="00A766A4"/>
    <w:rsid w:val="00A84864"/>
    <w:rsid w:val="00A9004B"/>
    <w:rsid w:val="00AA1104"/>
    <w:rsid w:val="00AB1836"/>
    <w:rsid w:val="00AC391B"/>
    <w:rsid w:val="00AC56DB"/>
    <w:rsid w:val="00AD1C5A"/>
    <w:rsid w:val="00AD32ED"/>
    <w:rsid w:val="00AD7701"/>
    <w:rsid w:val="00AE3FB1"/>
    <w:rsid w:val="00B1606A"/>
    <w:rsid w:val="00B46A51"/>
    <w:rsid w:val="00B6558A"/>
    <w:rsid w:val="00B73E6F"/>
    <w:rsid w:val="00B8512D"/>
    <w:rsid w:val="00B90331"/>
    <w:rsid w:val="00B929D9"/>
    <w:rsid w:val="00B947D9"/>
    <w:rsid w:val="00B95385"/>
    <w:rsid w:val="00BA1578"/>
    <w:rsid w:val="00BA6DB5"/>
    <w:rsid w:val="00BB3D73"/>
    <w:rsid w:val="00BC2157"/>
    <w:rsid w:val="00BC4807"/>
    <w:rsid w:val="00BC759D"/>
    <w:rsid w:val="00BE2845"/>
    <w:rsid w:val="00C003D6"/>
    <w:rsid w:val="00C118AC"/>
    <w:rsid w:val="00C31607"/>
    <w:rsid w:val="00C41F9A"/>
    <w:rsid w:val="00C42CD2"/>
    <w:rsid w:val="00C560F0"/>
    <w:rsid w:val="00C70F29"/>
    <w:rsid w:val="00C812D9"/>
    <w:rsid w:val="00C85229"/>
    <w:rsid w:val="00CC5BD5"/>
    <w:rsid w:val="00CD2619"/>
    <w:rsid w:val="00CE122A"/>
    <w:rsid w:val="00CF0933"/>
    <w:rsid w:val="00D33A76"/>
    <w:rsid w:val="00D33CD4"/>
    <w:rsid w:val="00D34D0A"/>
    <w:rsid w:val="00D375D2"/>
    <w:rsid w:val="00D41638"/>
    <w:rsid w:val="00D43D1F"/>
    <w:rsid w:val="00D65184"/>
    <w:rsid w:val="00D70546"/>
    <w:rsid w:val="00D70F73"/>
    <w:rsid w:val="00D732E5"/>
    <w:rsid w:val="00D814F5"/>
    <w:rsid w:val="00D85E54"/>
    <w:rsid w:val="00D865C0"/>
    <w:rsid w:val="00DC2EB7"/>
    <w:rsid w:val="00DE1FC9"/>
    <w:rsid w:val="00DE37D3"/>
    <w:rsid w:val="00DE38A5"/>
    <w:rsid w:val="00DE54E4"/>
    <w:rsid w:val="00DF4456"/>
    <w:rsid w:val="00DF5DD4"/>
    <w:rsid w:val="00DF7D8D"/>
    <w:rsid w:val="00E205A2"/>
    <w:rsid w:val="00E25020"/>
    <w:rsid w:val="00E435E6"/>
    <w:rsid w:val="00E65C0A"/>
    <w:rsid w:val="00E7362E"/>
    <w:rsid w:val="00E76ED5"/>
    <w:rsid w:val="00E83BB4"/>
    <w:rsid w:val="00E9763D"/>
    <w:rsid w:val="00EB18D1"/>
    <w:rsid w:val="00EC7B71"/>
    <w:rsid w:val="00ED1107"/>
    <w:rsid w:val="00EE1F14"/>
    <w:rsid w:val="00EF737F"/>
    <w:rsid w:val="00F01523"/>
    <w:rsid w:val="00F23B1E"/>
    <w:rsid w:val="00F72997"/>
    <w:rsid w:val="00F936EB"/>
    <w:rsid w:val="00F96222"/>
    <w:rsid w:val="00FA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7C360-CF52-4342-84B6-339FAC4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7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71B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271B6"/>
    <w:rPr>
      <w:b/>
      <w:bCs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3757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375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C1EE3"/>
    <w:pPr>
      <w:spacing w:after="200" w:line="276" w:lineRule="auto"/>
      <w:ind w:left="720"/>
      <w:contextualSpacing/>
    </w:pPr>
    <w:rPr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8C1EE3"/>
    <w:rPr>
      <w:rFonts w:ascii="Calibri" w:eastAsia="Calibri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3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87D2-BF7A-42E7-8EA2-45C7360A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https:/mul2-spm.gov.am/tasks/297957/oneclick/9a6b62b00830bbf7ee894070af11f84769c6b5c387171762e5c9cb279570816c.docx?token=d72c9756861575685f9bf8db4bc9f222</cp:keywords>
  <cp:lastModifiedBy>Gayane Petrosyan</cp:lastModifiedBy>
  <cp:revision>2</cp:revision>
  <cp:lastPrinted>2021-09-15T13:48:00Z</cp:lastPrinted>
  <dcterms:created xsi:type="dcterms:W3CDTF">2021-12-14T12:21:00Z</dcterms:created>
  <dcterms:modified xsi:type="dcterms:W3CDTF">2021-12-14T12:21:00Z</dcterms:modified>
</cp:coreProperties>
</file>