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ED" w:rsidRDefault="00266DED" w:rsidP="00D158ED">
      <w:pPr>
        <w:jc w:val="right"/>
        <w:rPr>
          <w:rFonts w:ascii="GHEA Grapalat" w:hAnsi="GHEA Grapalat"/>
          <w:szCs w:val="20"/>
          <w:lang w:val="en-US"/>
        </w:rPr>
      </w:pPr>
      <w:bookmarkStart w:id="0" w:name="_GoBack"/>
      <w:bookmarkEnd w:id="0"/>
    </w:p>
    <w:p w:rsidR="00EB217A" w:rsidRDefault="00EB217A" w:rsidP="00D158ED">
      <w:pPr>
        <w:jc w:val="right"/>
        <w:rPr>
          <w:rFonts w:ascii="GHEA Grapalat" w:hAnsi="GHEA Grapalat"/>
          <w:szCs w:val="20"/>
          <w:lang w:val="en-US"/>
        </w:rPr>
      </w:pPr>
    </w:p>
    <w:p w:rsidR="00B26F09" w:rsidRPr="00B26F09" w:rsidRDefault="00B26F09" w:rsidP="00B26F09">
      <w:pPr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26F09">
        <w:rPr>
          <w:rFonts w:ascii="GHEA Grapalat" w:hAnsi="GHEA Grapalat"/>
          <w:b/>
          <w:sz w:val="20"/>
          <w:szCs w:val="20"/>
          <w:lang w:val="hy-AM"/>
        </w:rPr>
        <w:t>ՀՐԱՊԱՐԱԿԱՅԻՆ</w:t>
      </w:r>
      <w:r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b/>
          <w:sz w:val="20"/>
          <w:szCs w:val="20"/>
          <w:lang w:val="hy-AM"/>
        </w:rPr>
        <w:t>ԾԱՆՈՒՑՈՒՄ</w:t>
      </w:r>
    </w:p>
    <w:p w:rsidR="00B26F09" w:rsidRPr="00B26F09" w:rsidRDefault="005516FE" w:rsidP="00B26F09">
      <w:pPr>
        <w:jc w:val="center"/>
        <w:rPr>
          <w:rFonts w:ascii="GHEA Grapalat" w:hAnsi="GHEA Grapalat"/>
          <w:b/>
          <w:color w:val="000000"/>
          <w:sz w:val="20"/>
          <w:szCs w:val="20"/>
          <w:lang w:val="af-ZA"/>
        </w:rPr>
      </w:pPr>
      <w:r w:rsidRPr="005516FE">
        <w:rPr>
          <w:rFonts w:ascii="GHEA Grapalat" w:hAnsi="GHEA Grapalat"/>
          <w:b/>
          <w:sz w:val="20"/>
          <w:szCs w:val="20"/>
          <w:lang w:val="hy-AM"/>
        </w:rPr>
        <w:t>Հայաստանի երիտասարդական հիմնադրամ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ի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լուծ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hy-AM"/>
        </w:rPr>
        <w:t>արման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hy-AM"/>
        </w:rPr>
        <w:t>հանձնաժողովը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,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ղեկավարվելով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ՀՀ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կառավարության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1999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թ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դեկտեմբերի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14-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ի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թիվ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752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որոշմամբ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հաստատված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կարգի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16-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րդ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կետով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>,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202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hy-AM"/>
        </w:rPr>
        <w:t>1</w:t>
      </w:r>
      <w:r w:rsidR="00B26F09" w:rsidRPr="00B26F09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թ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դեկտեմբերի</w:t>
      </w:r>
      <w:r w:rsidR="0051008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27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>-</w:t>
      </w:r>
      <w:r w:rsidR="00B26F09" w:rsidRPr="00B26F09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ին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հայտարարում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է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մրցույթ՝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2B513D">
        <w:rPr>
          <w:rFonts w:ascii="GHEA Grapalat" w:hAnsi="GHEA Grapalat"/>
          <w:b/>
          <w:color w:val="000000"/>
          <w:sz w:val="20"/>
          <w:szCs w:val="20"/>
          <w:lang w:val="hy-AM"/>
        </w:rPr>
        <w:t>Հիմնադրամի</w:t>
      </w:r>
      <w:r w:rsidR="00B26F09" w:rsidRPr="00B26F0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գույքը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գնահատելու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նպատակով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գնահատող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կազմակերպության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ընտրության</w:t>
      </w:r>
      <w:r w:rsidR="00B26F09" w:rsidRPr="00B26F0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b/>
          <w:sz w:val="20"/>
          <w:szCs w:val="20"/>
          <w:lang w:val="hy-AM"/>
        </w:rPr>
        <w:t>համար</w:t>
      </w:r>
    </w:p>
    <w:p w:rsidR="00B26F09" w:rsidRPr="002079A3" w:rsidRDefault="005516FE" w:rsidP="00B26F09">
      <w:pPr>
        <w:ind w:firstLine="720"/>
        <w:jc w:val="both"/>
        <w:rPr>
          <w:rFonts w:ascii="GHEA Grapalat" w:eastAsia="Calibri" w:hAnsi="GHEA Grapalat"/>
          <w:sz w:val="20"/>
          <w:szCs w:val="20"/>
          <w:lang w:val="af-ZA" w:eastAsia="en-US"/>
        </w:rPr>
      </w:pP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Երևանի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ընդհանուր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իրավասության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դատարանի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2020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թվականի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մարտի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20-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ի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թիվ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ԵԴ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/30917/02/19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վճռով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լո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ւ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ծարվող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Հայաստանի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երիտասարդական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Pr="002079A3">
        <w:rPr>
          <w:rFonts w:ascii="GHEA Grapalat" w:eastAsia="Calibri" w:hAnsi="GHEA Grapalat"/>
          <w:sz w:val="20"/>
          <w:szCs w:val="20"/>
          <w:lang w:val="en-US" w:eastAsia="en-US"/>
        </w:rPr>
        <w:t>հիմնադրամի</w:t>
      </w:r>
      <w:r w:rsidR="002B513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B513D" w:rsidRPr="002079A3">
        <w:rPr>
          <w:rFonts w:ascii="GHEA Grapalat" w:eastAsia="Calibri" w:hAnsi="GHEA Grapalat"/>
          <w:sz w:val="20"/>
          <w:szCs w:val="20"/>
          <w:lang w:val="af-ZA" w:eastAsia="en-US"/>
        </w:rPr>
        <w:t>(</w:t>
      </w:r>
      <w:r w:rsidR="002B513D" w:rsidRPr="002079A3">
        <w:rPr>
          <w:rFonts w:ascii="GHEA Grapalat" w:eastAsia="Calibri" w:hAnsi="GHEA Grapalat"/>
          <w:sz w:val="20"/>
          <w:szCs w:val="20"/>
          <w:lang w:val="en-US" w:eastAsia="en-US"/>
        </w:rPr>
        <w:t>այսուհետ</w:t>
      </w:r>
      <w:r w:rsidR="002B513D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proofErr w:type="gramStart"/>
      <w:r w:rsidR="002B513D" w:rsidRPr="002079A3">
        <w:rPr>
          <w:rFonts w:ascii="GHEA Grapalat" w:eastAsia="Calibri" w:hAnsi="GHEA Grapalat"/>
          <w:sz w:val="20"/>
          <w:szCs w:val="20"/>
          <w:lang w:val="en-US" w:eastAsia="en-US"/>
        </w:rPr>
        <w:t>Հիմնադրամ</w:t>
      </w:r>
      <w:r w:rsidR="002B513D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) </w:t>
      </w:r>
      <w:r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լուծարման</w:t>
      </w:r>
      <w:proofErr w:type="gramEnd"/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հանձնաժողովը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(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այսուհետ՝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Հանձնաժողով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),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հայտարարում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է</w:t>
      </w:r>
      <w:r w:rsidR="002079A3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2079A3">
        <w:rPr>
          <w:rFonts w:ascii="GHEA Grapalat" w:eastAsia="Calibri" w:hAnsi="GHEA Grapalat"/>
          <w:sz w:val="20"/>
          <w:szCs w:val="20"/>
          <w:lang w:val="en-US" w:eastAsia="en-US"/>
        </w:rPr>
        <w:t>Հիմնադրամի</w:t>
      </w:r>
      <w:r w:rsidR="002079A3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գույքի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գնահատող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կազմակերպության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ընտրության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մրցույթ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,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որը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տեղի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կունենա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2021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թ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. </w:t>
      </w:r>
      <w:r w:rsidR="002079A3" w:rsidRPr="002079A3">
        <w:rPr>
          <w:rFonts w:ascii="GHEA Grapalat" w:eastAsia="Calibri" w:hAnsi="GHEA Grapalat"/>
          <w:sz w:val="20"/>
          <w:szCs w:val="20"/>
          <w:lang w:val="en-US" w:eastAsia="en-US"/>
        </w:rPr>
        <w:t>դեկտեմբերի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2B513D">
        <w:rPr>
          <w:rFonts w:ascii="GHEA Grapalat" w:eastAsia="Calibri" w:hAnsi="GHEA Grapalat"/>
          <w:sz w:val="20"/>
          <w:szCs w:val="20"/>
          <w:lang w:val="af-ZA" w:eastAsia="en-US"/>
        </w:rPr>
        <w:t>2</w:t>
      </w:r>
      <w:r w:rsidR="00D5055B">
        <w:rPr>
          <w:rFonts w:ascii="GHEA Grapalat" w:eastAsia="Calibri" w:hAnsi="GHEA Grapalat"/>
          <w:sz w:val="20"/>
          <w:szCs w:val="20"/>
          <w:lang w:val="hy-AM" w:eastAsia="en-US"/>
        </w:rPr>
        <w:t>7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>-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ին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,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ժամը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15:00-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ին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,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Պետական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գույքի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կառավարման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կոմիտեում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(</w:t>
      </w:r>
      <w:proofErr w:type="gramStart"/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ք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>.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Երևան</w:t>
      </w:r>
      <w:proofErr w:type="gramEnd"/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,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Տիգրան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r w:rsidR="00B26F09" w:rsidRPr="002079A3">
        <w:rPr>
          <w:rFonts w:ascii="GHEA Grapalat" w:eastAsia="Calibri" w:hAnsi="GHEA Grapalat"/>
          <w:sz w:val="20"/>
          <w:szCs w:val="20"/>
          <w:lang w:val="en-US" w:eastAsia="en-US"/>
        </w:rPr>
        <w:t>Մեծի</w:t>
      </w:r>
      <w:r w:rsidR="00B26F09" w:rsidRPr="002079A3">
        <w:rPr>
          <w:rFonts w:ascii="GHEA Grapalat" w:eastAsia="Calibri" w:hAnsi="GHEA Grapalat"/>
          <w:sz w:val="20"/>
          <w:szCs w:val="20"/>
          <w:lang w:val="af-ZA" w:eastAsia="en-US"/>
        </w:rPr>
        <w:t xml:space="preserve"> 4):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sz w:val="20"/>
          <w:szCs w:val="20"/>
        </w:rPr>
        <w:t>Մրցույթին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մասնակցել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իրավաբանական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անձինք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անհատ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ձեռնարկատերերը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որոնք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ունեն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մասնագիտական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որակավորում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ունեցող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առնվազն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3 </w:t>
      </w:r>
      <w:r w:rsidRPr="00B26F09">
        <w:rPr>
          <w:rFonts w:ascii="GHEA Grapalat" w:hAnsi="GHEA Grapalat"/>
          <w:sz w:val="20"/>
          <w:szCs w:val="20"/>
        </w:rPr>
        <w:t>տարվա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աշխատանքային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փորձով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առնվազն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երկու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գնահատող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B26F09" w:rsidRPr="00B26F09" w:rsidRDefault="00B26F09" w:rsidP="00B26F09">
      <w:pPr>
        <w:pStyle w:val="BodyTextIndent"/>
        <w:spacing w:after="0"/>
        <w:ind w:left="0" w:firstLine="720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B26F09">
        <w:rPr>
          <w:rFonts w:ascii="GHEA Grapalat" w:eastAsia="Calibri" w:hAnsi="GHEA Grapalat"/>
          <w:sz w:val="20"/>
          <w:szCs w:val="20"/>
        </w:rPr>
        <w:t>Մասնակիցը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պետք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ունենա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մասնագիտական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գործունեության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համապատասխանություն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` </w:t>
      </w:r>
      <w:r w:rsidRPr="00B26F09">
        <w:rPr>
          <w:rFonts w:ascii="GHEA Grapalat" w:eastAsia="Calibri" w:hAnsi="GHEA Grapalat"/>
          <w:sz w:val="20"/>
          <w:szCs w:val="20"/>
        </w:rPr>
        <w:t>մասնագիտական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փորձառություն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տեխնիկական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միջոցներ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ֆինանսական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միջոցներ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աշխատանքային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ռեսուրսներ։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</w:p>
    <w:p w:rsidR="00B26F09" w:rsidRPr="00B26F09" w:rsidRDefault="00B26F09" w:rsidP="00B26F09">
      <w:pPr>
        <w:pStyle w:val="BodyTextIndent"/>
        <w:spacing w:after="0"/>
        <w:ind w:left="0" w:firstLine="720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B26F09">
        <w:rPr>
          <w:rFonts w:ascii="GHEA Grapalat" w:eastAsia="Calibri" w:hAnsi="GHEA Grapalat"/>
          <w:sz w:val="20"/>
          <w:szCs w:val="20"/>
        </w:rPr>
        <w:t>Մասնակիցը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հայտի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հետ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ներկայացնում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հայտարարություն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որ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հայտը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ներկայացնելու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տարվա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և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դրան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նախորդող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տարվա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ընթացքում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պատշաճ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ձևով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իրականացրել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համանման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eastAsia="Calibri" w:hAnsi="GHEA Grapalat"/>
          <w:sz w:val="20"/>
          <w:szCs w:val="20"/>
        </w:rPr>
        <w:t>նմանատիպ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eastAsia="Calibri" w:hAnsi="GHEA Grapalat"/>
          <w:sz w:val="20"/>
          <w:szCs w:val="20"/>
        </w:rPr>
        <w:t>առնվազն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մեկ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պայմանագիր։</w:t>
      </w:r>
    </w:p>
    <w:p w:rsidR="00B26F09" w:rsidRPr="00B26F09" w:rsidRDefault="00B26F09" w:rsidP="00B26F09">
      <w:pPr>
        <w:pStyle w:val="BodyTextIndent"/>
        <w:spacing w:after="0"/>
        <w:ind w:left="0" w:firstLine="720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B26F09">
        <w:rPr>
          <w:rFonts w:ascii="GHEA Grapalat" w:eastAsia="Calibri" w:hAnsi="GHEA Grapalat"/>
          <w:sz w:val="20"/>
          <w:szCs w:val="20"/>
        </w:rPr>
        <w:t>Մասնակիցը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պետք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ներկայացնի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գույքային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պատասխանատվության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ապահովման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միջոց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որով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իր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հաշվին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կապահովագրի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ընկերությանը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հնարավոր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դրամական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վնասից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որը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կարող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առաջանալ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գույքի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գնահատման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մասնագիտական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խախտումների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պատճառով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գույքի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թերագնահատման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գերագնահատման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հետևանքով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>:</w:t>
      </w:r>
    </w:p>
    <w:p w:rsidR="00B26F09" w:rsidRPr="00B26F09" w:rsidRDefault="00B26F09" w:rsidP="00B26F09">
      <w:pPr>
        <w:pStyle w:val="BodyTextIndent"/>
        <w:spacing w:after="0"/>
        <w:ind w:left="0" w:firstLine="720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B26F09">
        <w:rPr>
          <w:rFonts w:ascii="GHEA Grapalat" w:eastAsia="Calibri" w:hAnsi="GHEA Grapalat"/>
          <w:sz w:val="20"/>
          <w:szCs w:val="20"/>
        </w:rPr>
        <w:t>Գնահատման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ծառայությունների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դիմաց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վճարումները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կիրականացվեն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գնահատված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գույքի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վաճառքից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հետո՝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դրամական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միջոցների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առկայության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դեպքում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:  </w:t>
      </w:r>
    </w:p>
    <w:p w:rsidR="00B26F09" w:rsidRPr="00B26F09" w:rsidRDefault="00B26F09" w:rsidP="00B26F09">
      <w:pPr>
        <w:ind w:firstLine="720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B26F09">
        <w:rPr>
          <w:rFonts w:ascii="GHEA Grapalat" w:eastAsia="Calibri" w:hAnsi="GHEA Grapalat"/>
          <w:sz w:val="20"/>
          <w:szCs w:val="20"/>
        </w:rPr>
        <w:t>Մրցույթին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մասնակցել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ցանկացողները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պետք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  <w:lang w:val="hy-AM"/>
        </w:rPr>
        <w:t>Պ</w:t>
      </w:r>
      <w:r w:rsidRPr="00B26F09">
        <w:rPr>
          <w:rFonts w:ascii="GHEA Grapalat" w:eastAsia="Calibri" w:hAnsi="GHEA Grapalat"/>
          <w:sz w:val="20"/>
          <w:szCs w:val="20"/>
        </w:rPr>
        <w:t>ետական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գույքի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կառավարման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  <w:lang w:val="hy-AM"/>
        </w:rPr>
        <w:t>կոմիտեի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պետական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բաժնեմասի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կառավարման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վարչության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լուծարման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բաժին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eastAsia="Calibri" w:hAnsi="GHEA Grapalat"/>
          <w:sz w:val="20"/>
          <w:szCs w:val="20"/>
        </w:rPr>
        <w:t>ք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>.</w:t>
      </w:r>
      <w:r w:rsidRPr="00B26F09">
        <w:rPr>
          <w:rFonts w:ascii="GHEA Grapalat" w:eastAsia="Calibri" w:hAnsi="GHEA Grapalat"/>
          <w:sz w:val="20"/>
          <w:szCs w:val="20"/>
        </w:rPr>
        <w:t>Երևան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Տիգրան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Մեծի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4, 4-</w:t>
      </w:r>
      <w:r w:rsidRPr="00B26F09">
        <w:rPr>
          <w:rFonts w:ascii="GHEA Grapalat" w:eastAsia="Calibri" w:hAnsi="GHEA Grapalat"/>
          <w:sz w:val="20"/>
          <w:szCs w:val="20"/>
        </w:rPr>
        <w:t>րդ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հարկ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409 </w:t>
      </w:r>
      <w:r w:rsidRPr="00B26F09">
        <w:rPr>
          <w:rFonts w:ascii="GHEA Grapalat" w:eastAsia="Calibri" w:hAnsi="GHEA Grapalat"/>
          <w:sz w:val="20"/>
          <w:szCs w:val="20"/>
        </w:rPr>
        <w:t>սենյակ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ներքին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համար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1-47)</w:t>
      </w:r>
      <w:r w:rsidRPr="00B26F09">
        <w:rPr>
          <w:rFonts w:ascii="Courier New" w:eastAsia="Calibri" w:hAnsi="Courier New" w:cs="Courier New"/>
          <w:sz w:val="20"/>
          <w:szCs w:val="20"/>
          <w:lang w:val="af-ZA"/>
        </w:rPr>
        <w:t> </w:t>
      </w:r>
      <w:r w:rsidRPr="00B26F09">
        <w:rPr>
          <w:rFonts w:ascii="GHEA Grapalat" w:eastAsia="Calibri" w:hAnsi="GHEA Grapalat" w:cs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ներկայացնեն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հետևյալ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փաստաթղթերը՝</w:t>
      </w:r>
    </w:p>
    <w:p w:rsidR="00B26F09" w:rsidRPr="00B26F09" w:rsidRDefault="00B26F09" w:rsidP="00B26F09">
      <w:pPr>
        <w:ind w:left="360" w:firstLine="360"/>
        <w:jc w:val="both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- </w:t>
      </w:r>
      <w:r w:rsidRPr="00B26F09">
        <w:rPr>
          <w:rFonts w:ascii="GHEA Grapalat" w:hAnsi="GHEA Grapalat"/>
          <w:color w:val="000000"/>
          <w:sz w:val="20"/>
          <w:szCs w:val="20"/>
        </w:rPr>
        <w:t>մրցույթին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մասնակցելու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համար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գրավոր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դիմում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>,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գույքի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միավորի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գնահատման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ծառայությունների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արժեքի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և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աշխատանքի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կատարման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ժամկետի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վերաբերյալ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գրավոր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առաջարկ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,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գնահատողների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մասնագիտական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որակավորման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վկայականների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պատճենները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>,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համաձայնություն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այն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մասին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որ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գնահատման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ծառայությունների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դիմաց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վճարումները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 </w:t>
      </w:r>
      <w:r w:rsidRPr="00B26F09">
        <w:rPr>
          <w:rFonts w:ascii="GHEA Grapalat" w:hAnsi="GHEA Grapalat"/>
          <w:color w:val="000000"/>
          <w:sz w:val="20"/>
          <w:szCs w:val="20"/>
        </w:rPr>
        <w:t>կստանա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գնահատված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գույքի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վաճառքից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հետո՝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դրամական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միջոցների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առկայության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դեպքում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- 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color w:val="000000"/>
          <w:sz w:val="20"/>
          <w:szCs w:val="20"/>
        </w:rPr>
        <w:t>գույքային</w:t>
      </w:r>
      <w:r w:rsidRPr="00B26F09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պատասխանատվության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ապահովման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միջոցը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վկայող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փաստաթուղթ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>,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sz w:val="20"/>
          <w:szCs w:val="20"/>
          <w:lang w:val="af-ZA"/>
        </w:rPr>
        <w:t xml:space="preserve">- </w:t>
      </w:r>
      <w:r w:rsidRPr="00B26F09">
        <w:rPr>
          <w:rFonts w:ascii="GHEA Grapalat" w:hAnsi="GHEA Grapalat"/>
          <w:sz w:val="20"/>
          <w:szCs w:val="20"/>
        </w:rPr>
        <w:t>հայտարարություն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առ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այն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որ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ունի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առնվազն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3 </w:t>
      </w:r>
      <w:r w:rsidRPr="00B26F09">
        <w:rPr>
          <w:rFonts w:ascii="GHEA Grapalat" w:hAnsi="GHEA Grapalat"/>
          <w:sz w:val="20"/>
          <w:szCs w:val="20"/>
        </w:rPr>
        <w:t>տարվա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աշխատանքային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փորձով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առնվազն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երկու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գնահատող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հայտը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ներկայացնելու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տարվա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դրան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նախորդող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տարվա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ընթացքում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պատշաճ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ձևով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իրականացրել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է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համանման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hAnsi="GHEA Grapalat"/>
          <w:sz w:val="20"/>
          <w:szCs w:val="20"/>
        </w:rPr>
        <w:t>նմանատիպ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hAnsi="GHEA Grapalat"/>
          <w:sz w:val="20"/>
          <w:szCs w:val="20"/>
        </w:rPr>
        <w:t>առնվազն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մեկ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պայմանագիր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դատական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կարգով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սնանկ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ճանաչված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չէ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չունի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ժամկետանց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պարտքեր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ՀՀ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պետական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բյուջեի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նկատմամբ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հայտը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ներկայացնելու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պահին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նախորդող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երեք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տարիների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ընթացքում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գործադիր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մարմնի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ներկայացուցիչը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hAnsi="GHEA Grapalat"/>
          <w:sz w:val="20"/>
          <w:szCs w:val="20"/>
        </w:rPr>
        <w:t>անհատ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ձեռնարկատերը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hAnsi="GHEA Grapalat"/>
          <w:sz w:val="20"/>
          <w:szCs w:val="20"/>
        </w:rPr>
        <w:t>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գնահատողները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տնտեսական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գործունեության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պետական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ծառայության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դեմ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ուղղված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հանցագործության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համար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դատապարտված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չեն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եղել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(</w:t>
      </w:r>
      <w:r w:rsidRPr="00B26F09">
        <w:rPr>
          <w:rFonts w:ascii="GHEA Grapalat" w:hAnsi="GHEA Grapalat"/>
          <w:color w:val="000000"/>
          <w:sz w:val="20"/>
          <w:szCs w:val="20"/>
        </w:rPr>
        <w:t>բացառությամբ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այն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դեպքերի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color w:val="000000"/>
          <w:sz w:val="20"/>
          <w:szCs w:val="20"/>
        </w:rPr>
        <w:t>երբ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դատվածությունը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օրենքով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սահմանված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կարգով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հանված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կամ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մարված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չ</w:t>
      </w:r>
      <w:r w:rsidRPr="00B26F09">
        <w:rPr>
          <w:rFonts w:ascii="GHEA Grapalat" w:hAnsi="GHEA Grapalat"/>
          <w:color w:val="000000"/>
          <w:sz w:val="20"/>
          <w:szCs w:val="20"/>
        </w:rPr>
        <w:t>է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), </w:t>
      </w:r>
      <w:r w:rsidRPr="00B26F09">
        <w:rPr>
          <w:rFonts w:ascii="GHEA Grapalat" w:hAnsi="GHEA Grapalat"/>
          <w:color w:val="000000"/>
          <w:sz w:val="20"/>
          <w:szCs w:val="20"/>
        </w:rPr>
        <w:t>գործադիր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մարմնի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ներկայացուցիչը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hAnsi="GHEA Grapalat"/>
          <w:sz w:val="20"/>
          <w:szCs w:val="20"/>
        </w:rPr>
        <w:t>անհատ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ձեռնարկատերը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hAnsi="GHEA Grapalat"/>
          <w:sz w:val="20"/>
          <w:szCs w:val="20"/>
        </w:rPr>
        <w:t>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գնահատողները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վճռով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դատավճռով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անգործունակ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սահմանափակ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գործունակ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չեն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ճանաչվել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որոշակի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գործունեությամբ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զբաղվելու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իրավունքից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չեն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զրկվել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հավաստում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որ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իր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հիմնադրի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կողմից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հիմնադրված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ավելի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քան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հիսուն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տոկոս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իր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հիմնադրին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պատկանող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բաժնեմաս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ունեցող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կազմակերպությունների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միաժամանակյա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մասնակցությունը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սույն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մրցույթին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բացառվում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է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26F09">
        <w:rPr>
          <w:rFonts w:ascii="GHEA Grapalat" w:hAnsi="GHEA Grapalat" w:cs="Sylfaen"/>
          <w:sz w:val="20"/>
          <w:szCs w:val="20"/>
        </w:rPr>
        <w:t>Մրցույթի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մասնակիցները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կարող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են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ներկայացնել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նաև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այլ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լրացուցիչ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փաստաթղթեր՝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իրենց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հայեցողությամբ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26F09">
        <w:rPr>
          <w:rFonts w:ascii="GHEA Grapalat" w:hAnsi="GHEA Grapalat" w:cs="Sylfaen"/>
          <w:sz w:val="20"/>
          <w:szCs w:val="20"/>
        </w:rPr>
        <w:t>Սահմանվում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են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մրցույթի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հաղթողին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որոշելու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հետևյալ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պայմանները՝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1. միավոր գույքի </w:t>
      </w:r>
      <w:r w:rsidRPr="00B26F09">
        <w:rPr>
          <w:rFonts w:ascii="GHEA Grapalat" w:hAnsi="GHEA Grapalat" w:cs="Sylfaen"/>
          <w:sz w:val="20"/>
          <w:szCs w:val="20"/>
        </w:rPr>
        <w:t>գնահատման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ծառայու</w:t>
      </w:r>
      <w:r w:rsidRPr="00B26F09">
        <w:rPr>
          <w:rFonts w:ascii="GHEA Grapalat" w:hAnsi="GHEA Grapalat" w:cs="Sylfaen"/>
          <w:sz w:val="20"/>
          <w:szCs w:val="20"/>
          <w:lang w:val="af-ZA"/>
        </w:rPr>
        <w:softHyphen/>
      </w:r>
      <w:r w:rsidRPr="00B26F09">
        <w:rPr>
          <w:rFonts w:ascii="GHEA Grapalat" w:hAnsi="GHEA Grapalat" w:cs="Sylfaen"/>
          <w:sz w:val="20"/>
          <w:szCs w:val="20"/>
        </w:rPr>
        <w:t>թյունների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արժեքը</w:t>
      </w:r>
      <w:r w:rsidRPr="00B26F09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2.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ժամկետը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որը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չի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գերազանցել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քսան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օրը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կնքման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  <w:lang w:val="hy-AM"/>
        </w:rPr>
        <w:t>պահից</w:t>
      </w:r>
      <w:r w:rsidRPr="00B26F0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 w:cs="Sylfaen"/>
          <w:sz w:val="20"/>
          <w:szCs w:val="20"/>
        </w:rPr>
        <w:t>Հանձնաժողովը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երկու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աշխատանքային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օրվա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ընթացքում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հաղթող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ճանաչված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մասնակցին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սահմանված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կարգով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կառաջարկի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կնքել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="007A4E5A">
        <w:rPr>
          <w:rFonts w:ascii="GHEA Grapalat" w:hAnsi="GHEA Grapalat"/>
          <w:sz w:val="20"/>
          <w:szCs w:val="20"/>
          <w:lang w:val="hy-AM"/>
        </w:rPr>
        <w:t>Հիմնադրամի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գույքի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գնահատման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ծառայությունների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մատուցման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պայմանագիր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26F09">
        <w:rPr>
          <w:rFonts w:ascii="GHEA Grapalat" w:hAnsi="GHEA Grapalat" w:cs="Sylfaen"/>
          <w:sz w:val="20"/>
          <w:szCs w:val="20"/>
        </w:rPr>
        <w:lastRenderedPageBreak/>
        <w:t>Մրցույթի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արդյունքները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Հանձնաժողովը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կհրապարակի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մրցույթն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անցկացնելուց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հետո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B26F09">
        <w:rPr>
          <w:rFonts w:ascii="GHEA Grapalat" w:hAnsi="GHEA Grapalat" w:cs="Sylfaen"/>
          <w:sz w:val="20"/>
          <w:szCs w:val="20"/>
        </w:rPr>
        <w:t>նույն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օրը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 w:cs="Sylfaen"/>
          <w:sz w:val="20"/>
          <w:szCs w:val="20"/>
        </w:rPr>
        <w:t>կազմելով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համապատասխան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արձանագրություն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B26F09" w:rsidRPr="00B26F09" w:rsidRDefault="00B26F09" w:rsidP="00B26F09">
      <w:pPr>
        <w:pStyle w:val="Header"/>
        <w:tabs>
          <w:tab w:val="left" w:pos="0"/>
          <w:tab w:val="left" w:pos="720"/>
          <w:tab w:val="right" w:pos="810"/>
        </w:tabs>
        <w:ind w:firstLine="720"/>
        <w:jc w:val="both"/>
        <w:rPr>
          <w:rFonts w:ascii="GHEA Grapalat" w:eastAsia="Calibri" w:hAnsi="GHEA Grapalat" w:cs="Sylfaen"/>
          <w:kern w:val="0"/>
          <w:sz w:val="20"/>
          <w:lang w:val="af-ZA"/>
        </w:rPr>
      </w:pP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ab/>
      </w:r>
      <w:r w:rsidRPr="00B26F09">
        <w:rPr>
          <w:rFonts w:ascii="GHEA Grapalat" w:eastAsia="Calibri" w:hAnsi="GHEA Grapalat" w:cs="Sylfaen"/>
          <w:kern w:val="0"/>
          <w:sz w:val="20"/>
        </w:rPr>
        <w:t>Մրցույթի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արդյունքները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կարող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են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բողոքարկվել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դրանց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հրապարակումից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հետո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մեկ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օրվա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ընթացքում՝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Հանձնաժողովին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, </w:t>
      </w:r>
      <w:r w:rsidRPr="00B26F09">
        <w:rPr>
          <w:rFonts w:ascii="GHEA Grapalat" w:eastAsia="Calibri" w:hAnsi="GHEA Grapalat" w:cs="Sylfaen"/>
          <w:kern w:val="0"/>
          <w:sz w:val="20"/>
        </w:rPr>
        <w:t>իսկ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բողոքի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քննարկման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արդյունքները՝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դատական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 xml:space="preserve"> </w:t>
      </w:r>
      <w:r w:rsidRPr="00B26F09">
        <w:rPr>
          <w:rFonts w:ascii="GHEA Grapalat" w:eastAsia="Calibri" w:hAnsi="GHEA Grapalat" w:cs="Sylfaen"/>
          <w:kern w:val="0"/>
          <w:sz w:val="20"/>
        </w:rPr>
        <w:t>կարգով</w:t>
      </w:r>
      <w:r w:rsidRPr="00B26F09">
        <w:rPr>
          <w:rFonts w:ascii="GHEA Grapalat" w:eastAsia="Calibri" w:hAnsi="GHEA Grapalat" w:cs="Sylfaen"/>
          <w:kern w:val="0"/>
          <w:sz w:val="20"/>
          <w:lang w:val="af-ZA"/>
        </w:rPr>
        <w:t>: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 w:cs="Sylfaen"/>
          <w:sz w:val="20"/>
          <w:szCs w:val="20"/>
        </w:rPr>
        <w:t>Մրցույթին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մասնակցելու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համար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հայտերն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ընդունվում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են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աշխատանքային</w:t>
      </w:r>
      <w:r w:rsidRPr="00B26F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 w:cs="Sylfaen"/>
          <w:sz w:val="20"/>
          <w:szCs w:val="20"/>
        </w:rPr>
        <w:t>օրերին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մինչև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ժամը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B26F09">
        <w:rPr>
          <w:rFonts w:ascii="GHEA Grapalat" w:hAnsi="GHEA Grapalat"/>
          <w:sz w:val="20"/>
          <w:szCs w:val="20"/>
          <w:lang w:val="hy-AM"/>
        </w:rPr>
        <w:t>7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:00: </w:t>
      </w:r>
      <w:r w:rsidRPr="00B26F09">
        <w:rPr>
          <w:rFonts w:ascii="GHEA Grapalat" w:hAnsi="GHEA Grapalat"/>
          <w:sz w:val="20"/>
          <w:szCs w:val="20"/>
        </w:rPr>
        <w:t>Հայտերի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ներկայացման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վերջնաժամկետն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է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2021</w:t>
      </w:r>
      <w:r w:rsidRPr="00B26F09">
        <w:rPr>
          <w:rFonts w:ascii="GHEA Grapalat" w:hAnsi="GHEA Grapalat"/>
          <w:sz w:val="20"/>
          <w:szCs w:val="20"/>
        </w:rPr>
        <w:t>թ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. </w:t>
      </w:r>
      <w:r w:rsidR="00576AB8">
        <w:rPr>
          <w:rFonts w:ascii="GHEA Grapalat" w:hAnsi="GHEA Grapalat"/>
          <w:sz w:val="20"/>
          <w:szCs w:val="20"/>
          <w:lang w:val="hy-AM"/>
        </w:rPr>
        <w:t>դեկտեմբերի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="00D5055B">
        <w:rPr>
          <w:rFonts w:ascii="GHEA Grapalat" w:hAnsi="GHEA Grapalat"/>
          <w:sz w:val="20"/>
          <w:szCs w:val="20"/>
          <w:lang w:val="hy-AM"/>
        </w:rPr>
        <w:t>22</w:t>
      </w:r>
      <w:r w:rsidRPr="00B26F09">
        <w:rPr>
          <w:rFonts w:ascii="GHEA Grapalat" w:hAnsi="GHEA Grapalat"/>
          <w:sz w:val="20"/>
          <w:szCs w:val="20"/>
          <w:lang w:val="af-ZA"/>
        </w:rPr>
        <w:t>-</w:t>
      </w:r>
      <w:r w:rsidRPr="00B26F09">
        <w:rPr>
          <w:rFonts w:ascii="GHEA Grapalat" w:hAnsi="GHEA Grapalat"/>
          <w:sz w:val="20"/>
          <w:szCs w:val="20"/>
        </w:rPr>
        <w:t>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ժամը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15:30-</w:t>
      </w:r>
      <w:r w:rsidRPr="00B26F09">
        <w:rPr>
          <w:rFonts w:ascii="GHEA Grapalat" w:hAnsi="GHEA Grapalat"/>
          <w:sz w:val="20"/>
          <w:szCs w:val="20"/>
        </w:rPr>
        <w:t>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color w:val="000000"/>
          <w:sz w:val="20"/>
          <w:szCs w:val="20"/>
          <w:lang w:val="hy-AM"/>
        </w:rPr>
        <w:t>Մրցույթի</w:t>
      </w:r>
      <w:r w:rsidRPr="00B26F09">
        <w:rPr>
          <w:rFonts w:ascii="GHEA Grapalat" w:hAnsi="GHEA Grapalat"/>
          <w:color w:val="000000"/>
          <w:sz w:val="20"/>
          <w:szCs w:val="20"/>
        </w:rPr>
        <w:t>ն</w:t>
      </w:r>
      <w:r w:rsidRPr="00B26F09">
        <w:rPr>
          <w:rFonts w:ascii="GHEA Grapalat" w:hAnsi="GHEA Grapalat"/>
          <w:color w:val="000000"/>
          <w:sz w:val="20"/>
          <w:szCs w:val="20"/>
          <w:lang w:val="hy-AM"/>
        </w:rPr>
        <w:t xml:space="preserve"> մասնակց</w:t>
      </w:r>
      <w:r w:rsidRPr="00B26F09">
        <w:rPr>
          <w:rFonts w:ascii="GHEA Grapalat" w:hAnsi="GHEA Grapalat"/>
          <w:color w:val="000000"/>
          <w:sz w:val="20"/>
          <w:szCs w:val="20"/>
        </w:rPr>
        <w:t>ելու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համար</w:t>
      </w:r>
      <w:r w:rsidRPr="00B26F09">
        <w:rPr>
          <w:rFonts w:ascii="GHEA Grapalat" w:hAnsi="GHEA Grapalat"/>
          <w:color w:val="000000"/>
          <w:sz w:val="20"/>
          <w:szCs w:val="20"/>
          <w:lang w:val="hy-AM"/>
        </w:rPr>
        <w:t xml:space="preserve">  անհրաժեշտ փաստաթղթեր</w:t>
      </w:r>
      <w:r w:rsidRPr="00B26F09">
        <w:rPr>
          <w:rFonts w:ascii="GHEA Grapalat" w:hAnsi="GHEA Grapalat"/>
          <w:color w:val="000000"/>
          <w:sz w:val="20"/>
          <w:szCs w:val="20"/>
        </w:rPr>
        <w:t>ը</w:t>
      </w:r>
      <w:r w:rsidRPr="00B26F09">
        <w:rPr>
          <w:rFonts w:ascii="GHEA Grapalat" w:hAnsi="GHEA Grapalat"/>
          <w:color w:val="000000"/>
          <w:sz w:val="20"/>
          <w:szCs w:val="20"/>
          <w:lang w:val="hy-AM"/>
        </w:rPr>
        <w:t xml:space="preserve"> ներկայացվում են փակ կնքված կամ ստորագրված ծրարով</w:t>
      </w:r>
      <w:r w:rsidRPr="00B26F09">
        <w:rPr>
          <w:rFonts w:ascii="GHEA Grapalat" w:hAnsi="GHEA Grapalat"/>
          <w:color w:val="000000"/>
          <w:sz w:val="20"/>
          <w:szCs w:val="20"/>
        </w:rPr>
        <w:t>՝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փոստով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կամ</w:t>
      </w:r>
      <w:r w:rsidRPr="00B26F09">
        <w:rPr>
          <w:rFonts w:ascii="GHEA Grapalat" w:hAnsi="GHEA Grapalat"/>
          <w:color w:val="000000"/>
          <w:sz w:val="20"/>
          <w:szCs w:val="20"/>
          <w:lang w:val="hy-AM"/>
        </w:rPr>
        <w:t xml:space="preserve"> գործադիր մարմնի ղեկավարի կամ անհատ ձեռնարկատիրոջ կամ նրանց կողմից լիազորված անձանց կողմից, ներկայացնելով անձնագիր, լիազորագիր կամ անձը հաստատող այլ փաստաթուղթ: </w:t>
      </w:r>
      <w:r w:rsidRPr="00B26F09">
        <w:rPr>
          <w:rFonts w:ascii="GHEA Grapalat" w:hAnsi="GHEA Grapalat"/>
          <w:color w:val="000000"/>
          <w:sz w:val="20"/>
          <w:szCs w:val="20"/>
        </w:rPr>
        <w:t>Փաստաթղթերի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ներկայացման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վերջնաժամկետի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ավարտից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հետո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ոչ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սահմանված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կարգով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փաստաթղթերն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առանց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ծրարը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բացելու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կվերադարձվեն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ներկայացնողին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  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մասնակիցները՝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մինչև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մասնակցության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ընդունման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վերջնական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ժամկետի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ավարտը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փոփոխել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հետ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վերցնել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փոփոխությունը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կատարվում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է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ներկայացման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կարգով՝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ծրարի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վրա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ավելացնելով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B26F09">
        <w:rPr>
          <w:rFonts w:ascii="GHEA Grapalat" w:hAnsi="GHEA Grapalat"/>
          <w:sz w:val="20"/>
          <w:szCs w:val="20"/>
        </w:rPr>
        <w:t>փոփոխում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B26F09">
        <w:rPr>
          <w:rFonts w:ascii="GHEA Grapalat" w:hAnsi="GHEA Grapalat"/>
          <w:sz w:val="20"/>
          <w:szCs w:val="20"/>
        </w:rPr>
        <w:t>բառը</w:t>
      </w:r>
      <w:r w:rsidRPr="00B26F09">
        <w:rPr>
          <w:rFonts w:ascii="GHEA Grapalat" w:hAnsi="GHEA Grapalat"/>
          <w:sz w:val="20"/>
          <w:szCs w:val="20"/>
          <w:lang w:val="af-ZA"/>
        </w:rPr>
        <w:t>: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ներկայացնողները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նրանց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ներկայացուցիչները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կարող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ներկա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գտնվել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մասնակցության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հայտերի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բացմանը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և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ծանոթանալ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արձանագրությանը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sz w:val="20"/>
          <w:szCs w:val="20"/>
        </w:rPr>
        <w:t>Այն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մասնակիցներին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որոնց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կհամապատասխանեն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համար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սահմանված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պայմաններին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կտրվի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մասնակցի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կարգավիճակ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իսկ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այն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հայտերը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որոնք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չեն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համապատասխանի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մրցույթի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համար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սահմանված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պայմաններին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sz w:val="20"/>
          <w:szCs w:val="20"/>
        </w:rPr>
        <w:t>Հանձնաժողովի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կողմից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չեն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</w:rPr>
        <w:t>քննարկվի</w:t>
      </w:r>
      <w:r w:rsidRPr="00B26F09">
        <w:rPr>
          <w:rFonts w:ascii="GHEA Grapalat" w:hAnsi="GHEA Grapalat"/>
          <w:sz w:val="20"/>
          <w:szCs w:val="20"/>
          <w:lang w:val="af-ZA"/>
        </w:rPr>
        <w:t>:</w:t>
      </w:r>
    </w:p>
    <w:p w:rsidR="00B26F09" w:rsidRPr="00B26F09" w:rsidRDefault="00B26F09" w:rsidP="00B26F09">
      <w:pPr>
        <w:pStyle w:val="BodyTextIndent"/>
        <w:ind w:left="90" w:firstLine="630"/>
        <w:jc w:val="both"/>
        <w:rPr>
          <w:rFonts w:ascii="GHEA Grapalat" w:eastAsia="Calibri" w:hAnsi="GHEA Grapalat"/>
          <w:color w:val="000000"/>
          <w:sz w:val="20"/>
          <w:szCs w:val="20"/>
          <w:lang w:val="af-ZA"/>
        </w:rPr>
      </w:pPr>
      <w:r w:rsidRPr="00B26F09">
        <w:rPr>
          <w:rFonts w:ascii="GHEA Grapalat" w:eastAsia="Calibri" w:hAnsi="GHEA Grapalat"/>
          <w:sz w:val="20"/>
          <w:szCs w:val="20"/>
        </w:rPr>
        <w:t>Մրցույթին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մասնակցելու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իրավունք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չունեն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այն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անձինք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որոնց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գործադիր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մարմնի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ներկայացուցչի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eastAsia="Calibri" w:hAnsi="GHEA Grapalat"/>
          <w:sz w:val="20"/>
          <w:szCs w:val="20"/>
        </w:rPr>
        <w:t>անհատ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ձեռնարկատիրոջ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eastAsia="Calibri" w:hAnsi="GHEA Grapalat"/>
          <w:sz w:val="20"/>
          <w:szCs w:val="20"/>
        </w:rPr>
        <w:t>և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>/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գնահատողների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վերաբերյալ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առկա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անգործունակ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սահմանափակ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գործունակ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ճանաչելու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որոշակի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գործունեությամբ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զբաղվելու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իրավունքից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զրկվելու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վերաբերյալ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օրինական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ուժի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մեջ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մտած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վճիռ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դատավճիռ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 </w:t>
      </w:r>
      <w:r w:rsidRPr="00B26F09">
        <w:rPr>
          <w:rFonts w:ascii="GHEA Grapalat" w:eastAsia="Calibri" w:hAnsi="GHEA Grapalat"/>
          <w:sz w:val="20"/>
          <w:szCs w:val="20"/>
        </w:rPr>
        <w:t>դատական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կարգով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ճանաչվել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են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սնանկ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ունեն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ժամկետանց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պարտքեր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ՀՀ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պետական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բյուջեի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նկատմամբ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գործադիր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մարմնի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ներկայացուցիչը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eastAsia="Calibri" w:hAnsi="GHEA Grapalat"/>
          <w:sz w:val="20"/>
          <w:szCs w:val="20"/>
        </w:rPr>
        <w:t>անհատ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ձեռնարկատերը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eastAsia="Calibri" w:hAnsi="GHEA Grapalat"/>
          <w:sz w:val="20"/>
          <w:szCs w:val="20"/>
        </w:rPr>
        <w:t>և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>/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գնահատողները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հայտը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ներկայացնելու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պահին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նախորդող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երեք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տարիների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ընթացքում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դատապարտված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է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եղել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տնտեսական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գործունեության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պետական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ծառայության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դեմ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ուղղված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հանցագործության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համար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բացառությամբ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այն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դեպքերի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,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երբ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դատվածությունը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օրենքով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սահմանված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կարգով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հանված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կամ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մարված</w:t>
      </w:r>
      <w:r w:rsidRPr="00B26F09">
        <w:rPr>
          <w:rFonts w:ascii="GHEA Grapalat" w:eastAsia="Calibri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color w:val="000000"/>
          <w:sz w:val="20"/>
          <w:szCs w:val="20"/>
        </w:rPr>
        <w:t>է։</w:t>
      </w:r>
    </w:p>
    <w:p w:rsidR="00B26F09" w:rsidRPr="00B26F09" w:rsidRDefault="00B26F09" w:rsidP="00B26F09">
      <w:pPr>
        <w:pStyle w:val="BodyTextIndent"/>
        <w:ind w:left="90" w:firstLine="630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B26F09">
        <w:rPr>
          <w:rFonts w:ascii="GHEA Grapalat" w:eastAsia="Calibri" w:hAnsi="GHEA Grapalat"/>
          <w:sz w:val="20"/>
          <w:szCs w:val="20"/>
        </w:rPr>
        <w:t>Մրցույթին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չեն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կարող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մասնակցել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միևնույն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անձի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eastAsia="Calibri" w:hAnsi="GHEA Grapalat"/>
          <w:sz w:val="20"/>
          <w:szCs w:val="20"/>
        </w:rPr>
        <w:t>անձանց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eastAsia="Calibri" w:hAnsi="GHEA Grapalat"/>
          <w:sz w:val="20"/>
          <w:szCs w:val="20"/>
        </w:rPr>
        <w:t>կողմից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հիմնադրված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կամ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ավելի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քան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հիսուն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տոկոս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միևնույն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անձին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(</w:t>
      </w:r>
      <w:r w:rsidRPr="00B26F09">
        <w:rPr>
          <w:rFonts w:ascii="GHEA Grapalat" w:eastAsia="Calibri" w:hAnsi="GHEA Grapalat"/>
          <w:sz w:val="20"/>
          <w:szCs w:val="20"/>
        </w:rPr>
        <w:t>անձանց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) </w:t>
      </w:r>
      <w:r w:rsidRPr="00B26F09">
        <w:rPr>
          <w:rFonts w:ascii="GHEA Grapalat" w:eastAsia="Calibri" w:hAnsi="GHEA Grapalat"/>
          <w:sz w:val="20"/>
          <w:szCs w:val="20"/>
        </w:rPr>
        <w:t>պատկանող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բաժնեմաս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ունեցող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eastAsia="Calibri" w:hAnsi="GHEA Grapalat"/>
          <w:sz w:val="20"/>
          <w:szCs w:val="20"/>
        </w:rPr>
        <w:t>կազմակերպությունները</w:t>
      </w:r>
      <w:r w:rsidRPr="00B26F09">
        <w:rPr>
          <w:rFonts w:ascii="GHEA Grapalat" w:eastAsia="Calibri" w:hAnsi="GHEA Grapalat"/>
          <w:sz w:val="20"/>
          <w:szCs w:val="20"/>
          <w:lang w:val="af-ZA"/>
        </w:rPr>
        <w:t>:</w:t>
      </w:r>
    </w:p>
    <w:p w:rsidR="00B26F09" w:rsidRPr="00B26F09" w:rsidRDefault="00724FAE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7A4E5A">
        <w:rPr>
          <w:rFonts w:ascii="GHEA Grapalat" w:eastAsia="Calibri" w:hAnsi="GHEA Grapalat"/>
          <w:sz w:val="20"/>
          <w:szCs w:val="20"/>
          <w:lang w:val="en-US" w:eastAsia="en-US"/>
        </w:rPr>
        <w:t>Հիմնադրամի</w:t>
      </w:r>
      <w:r w:rsidR="00B26F09" w:rsidRPr="007A4E5A">
        <w:rPr>
          <w:rFonts w:ascii="GHEA Grapalat" w:eastAsia="Calibri" w:hAnsi="GHEA Grapalat"/>
          <w:sz w:val="20"/>
          <w:szCs w:val="20"/>
          <w:lang w:val="en-US" w:eastAsia="en-US"/>
        </w:rPr>
        <w:t xml:space="preserve"> </w:t>
      </w:r>
      <w:r w:rsidR="00B26F09" w:rsidRPr="00B26F09">
        <w:rPr>
          <w:rFonts w:ascii="GHEA Grapalat" w:hAnsi="GHEA Grapalat"/>
          <w:sz w:val="20"/>
          <w:szCs w:val="20"/>
        </w:rPr>
        <w:t>գույքն</w:t>
      </w:r>
      <w:r w:rsidR="00B26F09"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sz w:val="20"/>
          <w:szCs w:val="20"/>
        </w:rPr>
        <w:t>իրենից</w:t>
      </w:r>
      <w:r w:rsidR="00B26F09"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sz w:val="20"/>
          <w:szCs w:val="20"/>
        </w:rPr>
        <w:t>ներկայացնում</w:t>
      </w:r>
      <w:r w:rsidR="00B26F09"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="00B26F09" w:rsidRPr="00B26F09">
        <w:rPr>
          <w:rFonts w:ascii="GHEA Grapalat" w:hAnsi="GHEA Grapalat"/>
          <w:sz w:val="20"/>
          <w:szCs w:val="20"/>
        </w:rPr>
        <w:t>է</w:t>
      </w:r>
      <w:r w:rsidR="00B26F09" w:rsidRPr="00B26F09">
        <w:rPr>
          <w:rFonts w:ascii="GHEA Grapalat" w:hAnsi="GHEA Grapalat"/>
          <w:sz w:val="20"/>
          <w:szCs w:val="20"/>
          <w:lang w:val="af-ZA"/>
        </w:rPr>
        <w:t>՝</w:t>
      </w:r>
    </w:p>
    <w:p w:rsidR="00B26F09" w:rsidRPr="00724FAE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26F09">
        <w:rPr>
          <w:rFonts w:ascii="GHEA Grapalat" w:hAnsi="GHEA Grapalat"/>
          <w:sz w:val="20"/>
          <w:szCs w:val="20"/>
          <w:lang w:val="af-ZA"/>
        </w:rPr>
        <w:t>անշարժ գույք</w:t>
      </w:r>
      <w:r w:rsidR="00724FAE">
        <w:rPr>
          <w:rFonts w:ascii="GHEA Grapalat" w:hAnsi="GHEA Grapalat"/>
          <w:sz w:val="20"/>
          <w:szCs w:val="20"/>
          <w:lang w:val="hy-AM"/>
        </w:rPr>
        <w:t xml:space="preserve"> և տրանսպորտային միջոցներ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="00724FA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26F09">
        <w:rPr>
          <w:rFonts w:ascii="GHEA Grapalat" w:hAnsi="GHEA Grapalat"/>
          <w:sz w:val="20"/>
          <w:szCs w:val="20"/>
          <w:lang w:val="hy-AM"/>
        </w:rPr>
        <w:t>-</w:t>
      </w:r>
      <w:r w:rsidRPr="00B26F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sz w:val="20"/>
          <w:szCs w:val="20"/>
          <w:lang w:val="hy-AM"/>
        </w:rPr>
        <w:t xml:space="preserve">ք. Երևան, հասցե՝ </w:t>
      </w:r>
      <w:r w:rsidR="002320E6">
        <w:rPr>
          <w:rFonts w:ascii="GHEA Grapalat" w:hAnsi="GHEA Grapalat"/>
          <w:sz w:val="20"/>
          <w:szCs w:val="20"/>
          <w:lang w:val="hy-AM"/>
        </w:rPr>
        <w:t>Աբովյան փողոց 50/5</w:t>
      </w:r>
      <w:r w:rsidR="00234254">
        <w:rPr>
          <w:rFonts w:ascii="GHEA Grapalat" w:hAnsi="GHEA Grapalat"/>
          <w:sz w:val="20"/>
          <w:szCs w:val="20"/>
          <w:lang w:val="hy-AM"/>
        </w:rPr>
        <w:t xml:space="preserve"> շենք</w:t>
      </w:r>
      <w:r w:rsidRPr="00B26F09">
        <w:rPr>
          <w:rFonts w:ascii="GHEA Grapalat" w:hAnsi="GHEA Grapalat"/>
          <w:sz w:val="20"/>
          <w:szCs w:val="20"/>
          <w:lang w:val="hy-AM"/>
        </w:rPr>
        <w:t xml:space="preserve">, 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26F09">
        <w:rPr>
          <w:rFonts w:ascii="GHEA Grapalat" w:hAnsi="GHEA Grapalat"/>
          <w:sz w:val="20"/>
          <w:szCs w:val="20"/>
          <w:lang w:val="hy-AM"/>
        </w:rPr>
        <w:t>- ք</w:t>
      </w:r>
      <w:r w:rsidR="002320E6">
        <w:rPr>
          <w:rFonts w:ascii="GHEA Grapalat" w:hAnsi="GHEA Grapalat"/>
          <w:sz w:val="20"/>
          <w:szCs w:val="20"/>
          <w:lang w:val="hy-AM"/>
        </w:rPr>
        <w:t xml:space="preserve">. </w:t>
      </w:r>
      <w:r w:rsidR="002320E6" w:rsidRPr="002320E6">
        <w:rPr>
          <w:rFonts w:ascii="GHEA Grapalat" w:hAnsi="GHEA Grapalat"/>
          <w:sz w:val="20"/>
          <w:szCs w:val="20"/>
          <w:lang w:val="hy-AM"/>
        </w:rPr>
        <w:t>Ծաղկաձոր Գլխավոր մարզահամալիր թաղամաս 81 Մ</w:t>
      </w:r>
      <w:r w:rsidR="002320E6">
        <w:rPr>
          <w:rFonts w:ascii="GHEA Grapalat" w:hAnsi="GHEA Grapalat"/>
          <w:sz w:val="20"/>
          <w:szCs w:val="20"/>
          <w:lang w:val="hy-AM"/>
        </w:rPr>
        <w:t>արզահամալիրի 3-րդ մասնաշենք,</w:t>
      </w:r>
    </w:p>
    <w:p w:rsidR="00B26F09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sz w:val="20"/>
          <w:szCs w:val="20"/>
          <w:lang w:val="hy-AM"/>
        </w:rPr>
        <w:t xml:space="preserve">- ք. Երևան, </w:t>
      </w:r>
      <w:r w:rsidR="002320E6">
        <w:rPr>
          <w:rFonts w:ascii="GHEA Grapalat" w:hAnsi="GHEA Grapalat"/>
          <w:sz w:val="20"/>
          <w:szCs w:val="20"/>
          <w:lang w:val="hy-AM"/>
        </w:rPr>
        <w:t>տրանսպորտային միջոց «</w:t>
      </w:r>
      <w:r w:rsidR="002320E6" w:rsidRPr="002320E6">
        <w:rPr>
          <w:rFonts w:ascii="GHEA Grapalat" w:hAnsi="GHEA Grapalat"/>
          <w:sz w:val="20"/>
          <w:szCs w:val="20"/>
          <w:lang w:val="hy-AM"/>
        </w:rPr>
        <w:t>Gaz 3102-121</w:t>
      </w:r>
      <w:r w:rsidR="002320E6">
        <w:rPr>
          <w:rFonts w:ascii="GHEA Grapalat" w:hAnsi="GHEA Grapalat"/>
          <w:sz w:val="20"/>
          <w:szCs w:val="20"/>
          <w:lang w:val="hy-AM"/>
        </w:rPr>
        <w:t>»,</w:t>
      </w:r>
      <w:r w:rsidRPr="00B26F09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320E6" w:rsidRDefault="002320E6" w:rsidP="002320E6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26F09">
        <w:rPr>
          <w:rFonts w:ascii="GHEA Grapalat" w:hAnsi="GHEA Grapalat"/>
          <w:sz w:val="20"/>
          <w:szCs w:val="20"/>
          <w:lang w:val="hy-AM"/>
        </w:rPr>
        <w:t xml:space="preserve">- ք. Երևան, </w:t>
      </w:r>
      <w:r>
        <w:rPr>
          <w:rFonts w:ascii="GHEA Grapalat" w:hAnsi="GHEA Grapalat"/>
          <w:sz w:val="20"/>
          <w:szCs w:val="20"/>
          <w:lang w:val="hy-AM"/>
        </w:rPr>
        <w:t>տրանսպորտային միջոց «</w:t>
      </w:r>
      <w:r w:rsidRPr="002320E6">
        <w:rPr>
          <w:rFonts w:ascii="GHEA Grapalat" w:hAnsi="GHEA Grapalat"/>
          <w:sz w:val="20"/>
          <w:szCs w:val="20"/>
          <w:lang w:val="af-ZA"/>
        </w:rPr>
        <w:t>MITSUBISHI PAJERO 2.</w:t>
      </w:r>
      <w:r>
        <w:rPr>
          <w:rFonts w:ascii="GHEA Grapalat" w:hAnsi="GHEA Grapalat"/>
          <w:sz w:val="20"/>
          <w:szCs w:val="20"/>
          <w:lang w:val="af-ZA"/>
        </w:rPr>
        <w:t>8L</w:t>
      </w:r>
      <w:r>
        <w:rPr>
          <w:rFonts w:ascii="GHEA Grapalat" w:hAnsi="GHEA Grapalat"/>
          <w:sz w:val="20"/>
          <w:szCs w:val="20"/>
          <w:lang w:val="hy-AM"/>
        </w:rPr>
        <w:t>»,</w:t>
      </w:r>
      <w:r w:rsidRPr="00B26F09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320E6" w:rsidRPr="00B26F09" w:rsidRDefault="002320E6" w:rsidP="002320E6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B26F09">
        <w:rPr>
          <w:rFonts w:ascii="GHEA Grapalat" w:hAnsi="GHEA Grapalat"/>
          <w:sz w:val="20"/>
          <w:szCs w:val="20"/>
          <w:lang w:val="hy-AM"/>
        </w:rPr>
        <w:t xml:space="preserve">- ք. Երևան, </w:t>
      </w:r>
      <w:r>
        <w:rPr>
          <w:rFonts w:ascii="GHEA Grapalat" w:hAnsi="GHEA Grapalat"/>
          <w:sz w:val="20"/>
          <w:szCs w:val="20"/>
          <w:lang w:val="hy-AM"/>
        </w:rPr>
        <w:t>տրանսպորտային միջոց «</w:t>
      </w:r>
      <w:r w:rsidRPr="002320E6">
        <w:rPr>
          <w:rFonts w:ascii="GHEA Grapalat" w:hAnsi="GHEA Grapalat"/>
          <w:sz w:val="20"/>
          <w:szCs w:val="20"/>
          <w:lang w:val="hy-AM"/>
        </w:rPr>
        <w:t>LEXUS ES 200</w:t>
      </w:r>
      <w:r>
        <w:rPr>
          <w:rFonts w:ascii="GHEA Grapalat" w:hAnsi="GHEA Grapalat"/>
          <w:sz w:val="20"/>
          <w:szCs w:val="20"/>
          <w:lang w:val="hy-AM"/>
        </w:rPr>
        <w:t>»,</w:t>
      </w:r>
      <w:r w:rsidRPr="00B26F09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26F09" w:rsidRPr="002320E6" w:rsidRDefault="00B26F09" w:rsidP="002320E6">
      <w:pPr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F752A8" w:rsidRPr="00B26F09" w:rsidRDefault="00B26F09" w:rsidP="00B26F09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Լրացուցիչ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տեղեկությունների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համար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կարող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են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դիմել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ՀՀ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  <w:lang w:val="hy-AM"/>
        </w:rPr>
        <w:t>Պ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ետական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գույքի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կառավարման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  <w:lang w:val="hy-AM"/>
        </w:rPr>
        <w:t>կոմիտեի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պետական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բաժնեմասի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կառավարման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վարչության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320E6">
        <w:rPr>
          <w:rFonts w:ascii="GHEA Grapalat" w:hAnsi="GHEA Grapalat"/>
          <w:color w:val="000000"/>
          <w:sz w:val="20"/>
          <w:szCs w:val="20"/>
          <w:lang w:val="hy-AM"/>
        </w:rPr>
        <w:t>լ</w:t>
      </w:r>
      <w:r w:rsidRPr="00B26F09">
        <w:rPr>
          <w:rFonts w:ascii="GHEA Grapalat" w:hAnsi="GHEA Grapalat"/>
          <w:color w:val="000000"/>
          <w:sz w:val="20"/>
          <w:szCs w:val="20"/>
        </w:rPr>
        <w:t>ուծարման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բաժին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կամ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զանգահարել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(011) 52-65-57 </w:t>
      </w:r>
      <w:r w:rsidRPr="00B26F09">
        <w:rPr>
          <w:rFonts w:ascii="GHEA Grapalat" w:hAnsi="GHEA Grapalat"/>
          <w:color w:val="000000"/>
          <w:sz w:val="20"/>
          <w:szCs w:val="20"/>
        </w:rPr>
        <w:t>հեռախոսահամարով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, </w:t>
      </w:r>
      <w:r w:rsidRPr="00B26F09">
        <w:rPr>
          <w:rFonts w:ascii="GHEA Grapalat" w:hAnsi="GHEA Grapalat"/>
          <w:color w:val="000000"/>
          <w:sz w:val="20"/>
          <w:szCs w:val="20"/>
        </w:rPr>
        <w:t>ինչպես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B26F09">
        <w:rPr>
          <w:rFonts w:ascii="GHEA Grapalat" w:hAnsi="GHEA Grapalat"/>
          <w:color w:val="000000"/>
          <w:sz w:val="20"/>
          <w:szCs w:val="20"/>
        </w:rPr>
        <w:t>նաև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2320E6">
        <w:rPr>
          <w:rFonts w:ascii="GHEA Grapalat" w:hAnsi="GHEA Grapalat"/>
          <w:sz w:val="20"/>
          <w:szCs w:val="20"/>
          <w:lang w:val="hy-AM"/>
        </w:rPr>
        <w:t>Հիմնադրամի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հանձնակատար Ար</w:t>
      </w:r>
      <w:r w:rsidR="002320E6">
        <w:rPr>
          <w:rFonts w:ascii="GHEA Grapalat" w:hAnsi="GHEA Grapalat"/>
          <w:color w:val="000000"/>
          <w:sz w:val="20"/>
          <w:szCs w:val="20"/>
          <w:lang w:val="hy-AM"/>
        </w:rPr>
        <w:t>գամ</w:t>
      </w:r>
      <w:r w:rsidRPr="00B26F09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2320E6">
        <w:rPr>
          <w:rFonts w:ascii="GHEA Grapalat" w:hAnsi="GHEA Grapalat"/>
          <w:color w:val="000000"/>
          <w:sz w:val="20"/>
          <w:szCs w:val="20"/>
          <w:lang w:val="hy-AM"/>
        </w:rPr>
        <w:t>Արշակյանին</w:t>
      </w:r>
      <w:r w:rsidR="002320E6">
        <w:rPr>
          <w:rFonts w:ascii="GHEA Grapalat" w:hAnsi="GHEA Grapalat"/>
          <w:color w:val="000000"/>
          <w:sz w:val="20"/>
          <w:szCs w:val="20"/>
          <w:lang w:val="af-ZA"/>
        </w:rPr>
        <w:t xml:space="preserve"> (0</w:t>
      </w:r>
      <w:r w:rsidR="000959D4">
        <w:rPr>
          <w:rFonts w:ascii="GHEA Grapalat" w:hAnsi="GHEA Grapalat"/>
          <w:color w:val="000000"/>
          <w:sz w:val="20"/>
          <w:szCs w:val="20"/>
          <w:lang w:val="hy-AM"/>
        </w:rPr>
        <w:t>93</w:t>
      </w:r>
      <w:r w:rsidR="00D135CD">
        <w:rPr>
          <w:rFonts w:ascii="GHEA Grapalat" w:hAnsi="GHEA Grapalat"/>
          <w:color w:val="000000"/>
          <w:sz w:val="20"/>
          <w:szCs w:val="20"/>
          <w:lang w:val="af-ZA"/>
        </w:rPr>
        <w:t>)66-80-13</w:t>
      </w:r>
      <w:r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sectPr w:rsidR="00F752A8" w:rsidRPr="00B26F09" w:rsidSect="002079A3">
      <w:pgSz w:w="12240" w:h="15840"/>
      <w:pgMar w:top="630" w:right="630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F0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AD55F7"/>
    <w:multiLevelType w:val="hybridMultilevel"/>
    <w:tmpl w:val="F1A257F2"/>
    <w:lvl w:ilvl="0" w:tplc="2836F802">
      <w:start w:val="201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80200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90097B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1178FC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8B75489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3B79FB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88819BB"/>
    <w:multiLevelType w:val="hybridMultilevel"/>
    <w:tmpl w:val="8F54F318"/>
    <w:lvl w:ilvl="0" w:tplc="F7D425E0">
      <w:numFmt w:val="bullet"/>
      <w:lvlText w:val="-"/>
      <w:lvlJc w:val="left"/>
      <w:pPr>
        <w:ind w:left="99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95A2EC9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abstractNum w:abstractNumId="9" w15:restartNumberingAfterBreak="0">
    <w:nsid w:val="29600876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91D5C28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2B42EF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8A2364C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9E51337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abstractNum w:abstractNumId="14" w15:restartNumberingAfterBreak="0">
    <w:nsid w:val="4CFE6D3B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4EB746A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DEC6102"/>
    <w:multiLevelType w:val="hybridMultilevel"/>
    <w:tmpl w:val="10667D5A"/>
    <w:lvl w:ilvl="0" w:tplc="D57A46C2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615F30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8" w15:restartNumberingAfterBreak="0">
    <w:nsid w:val="68B075DB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9522D01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0CD29F7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</w:lvl>
  </w:abstractNum>
  <w:abstractNum w:abstractNumId="21" w15:restartNumberingAfterBreak="0">
    <w:nsid w:val="72B72556"/>
    <w:multiLevelType w:val="hybridMultilevel"/>
    <w:tmpl w:val="754ED4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E79F3"/>
    <w:multiLevelType w:val="hybridMultilevel"/>
    <w:tmpl w:val="97E46C5E"/>
    <w:lvl w:ilvl="0" w:tplc="25C2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FA1A3D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D8367EB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DD765C3"/>
    <w:multiLevelType w:val="hybridMultilevel"/>
    <w:tmpl w:val="B01A4F4A"/>
    <w:lvl w:ilvl="0" w:tplc="7E82A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23"/>
  </w:num>
  <w:num w:numId="5">
    <w:abstractNumId w:val="5"/>
  </w:num>
  <w:num w:numId="6">
    <w:abstractNumId w:val="14"/>
  </w:num>
  <w:num w:numId="7">
    <w:abstractNumId w:val="3"/>
  </w:num>
  <w:num w:numId="8">
    <w:abstractNumId w:val="25"/>
  </w:num>
  <w:num w:numId="9">
    <w:abstractNumId w:val="17"/>
  </w:num>
  <w:num w:numId="10">
    <w:abstractNumId w:val="13"/>
  </w:num>
  <w:num w:numId="11">
    <w:abstractNumId w:val="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  <w:num w:numId="18">
    <w:abstractNumId w:val="9"/>
  </w:num>
  <w:num w:numId="19">
    <w:abstractNumId w:val="6"/>
  </w:num>
  <w:num w:numId="20">
    <w:abstractNumId w:val="18"/>
  </w:num>
  <w:num w:numId="21">
    <w:abstractNumId w:val="2"/>
  </w:num>
  <w:num w:numId="22">
    <w:abstractNumId w:val="19"/>
  </w:num>
  <w:num w:numId="23">
    <w:abstractNumId w:val="7"/>
  </w:num>
  <w:num w:numId="24">
    <w:abstractNumId w:val="0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0F"/>
    <w:rsid w:val="000354E2"/>
    <w:rsid w:val="00051F0D"/>
    <w:rsid w:val="000959D4"/>
    <w:rsid w:val="00096793"/>
    <w:rsid w:val="000C12C2"/>
    <w:rsid w:val="000C4E44"/>
    <w:rsid w:val="000F22B0"/>
    <w:rsid w:val="00100BD2"/>
    <w:rsid w:val="00166497"/>
    <w:rsid w:val="00171445"/>
    <w:rsid w:val="001C6788"/>
    <w:rsid w:val="001E1186"/>
    <w:rsid w:val="001F140F"/>
    <w:rsid w:val="001F39BB"/>
    <w:rsid w:val="002079A3"/>
    <w:rsid w:val="00210084"/>
    <w:rsid w:val="002320E6"/>
    <w:rsid w:val="00234254"/>
    <w:rsid w:val="00236F32"/>
    <w:rsid w:val="002602F4"/>
    <w:rsid w:val="00266DED"/>
    <w:rsid w:val="002A25F4"/>
    <w:rsid w:val="002B4090"/>
    <w:rsid w:val="002B513D"/>
    <w:rsid w:val="003057CF"/>
    <w:rsid w:val="00317369"/>
    <w:rsid w:val="00327A28"/>
    <w:rsid w:val="00356E93"/>
    <w:rsid w:val="0037183E"/>
    <w:rsid w:val="00384B74"/>
    <w:rsid w:val="00384F5D"/>
    <w:rsid w:val="003A04A3"/>
    <w:rsid w:val="003D6DC1"/>
    <w:rsid w:val="0041223A"/>
    <w:rsid w:val="00415333"/>
    <w:rsid w:val="00417787"/>
    <w:rsid w:val="00457AEE"/>
    <w:rsid w:val="00466DAD"/>
    <w:rsid w:val="004831D3"/>
    <w:rsid w:val="004D3A2B"/>
    <w:rsid w:val="0051008E"/>
    <w:rsid w:val="005516FE"/>
    <w:rsid w:val="00567F6C"/>
    <w:rsid w:val="005742D3"/>
    <w:rsid w:val="00576AB8"/>
    <w:rsid w:val="005E7A9E"/>
    <w:rsid w:val="00615E88"/>
    <w:rsid w:val="00652963"/>
    <w:rsid w:val="006D155C"/>
    <w:rsid w:val="006D6FAD"/>
    <w:rsid w:val="00711759"/>
    <w:rsid w:val="00724FAE"/>
    <w:rsid w:val="00750DE7"/>
    <w:rsid w:val="007561A2"/>
    <w:rsid w:val="007931E0"/>
    <w:rsid w:val="007A4E5A"/>
    <w:rsid w:val="00821984"/>
    <w:rsid w:val="00881634"/>
    <w:rsid w:val="008A452A"/>
    <w:rsid w:val="008B44B3"/>
    <w:rsid w:val="008C10AF"/>
    <w:rsid w:val="008D22FD"/>
    <w:rsid w:val="00913E9A"/>
    <w:rsid w:val="0095539C"/>
    <w:rsid w:val="00970BDA"/>
    <w:rsid w:val="00A0197D"/>
    <w:rsid w:val="00A20C2D"/>
    <w:rsid w:val="00A42C3D"/>
    <w:rsid w:val="00A86596"/>
    <w:rsid w:val="00B02399"/>
    <w:rsid w:val="00B26F09"/>
    <w:rsid w:val="00B27C19"/>
    <w:rsid w:val="00B317B2"/>
    <w:rsid w:val="00C079B0"/>
    <w:rsid w:val="00C34B82"/>
    <w:rsid w:val="00C93175"/>
    <w:rsid w:val="00C969F1"/>
    <w:rsid w:val="00CC0CD3"/>
    <w:rsid w:val="00CC61C1"/>
    <w:rsid w:val="00D135CD"/>
    <w:rsid w:val="00D158ED"/>
    <w:rsid w:val="00D341BB"/>
    <w:rsid w:val="00D5055B"/>
    <w:rsid w:val="00D60266"/>
    <w:rsid w:val="00D67DBA"/>
    <w:rsid w:val="00E02774"/>
    <w:rsid w:val="00E03049"/>
    <w:rsid w:val="00E17473"/>
    <w:rsid w:val="00E30003"/>
    <w:rsid w:val="00E43683"/>
    <w:rsid w:val="00E606A1"/>
    <w:rsid w:val="00E634D7"/>
    <w:rsid w:val="00E82070"/>
    <w:rsid w:val="00EB217A"/>
    <w:rsid w:val="00F248CB"/>
    <w:rsid w:val="00F36774"/>
    <w:rsid w:val="00F55479"/>
    <w:rsid w:val="00F74083"/>
    <w:rsid w:val="00F750DA"/>
    <w:rsid w:val="00F752A8"/>
    <w:rsid w:val="00FB2BA0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B0CB-2FFC-4412-BDEF-E45CD1F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0F"/>
    <w:rPr>
      <w:rFonts w:ascii="Arial Armenian" w:eastAsia="Times New Roman" w:hAnsi="Arial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1223A"/>
    <w:pPr>
      <w:keepNext/>
      <w:outlineLvl w:val="0"/>
    </w:pPr>
    <w:rPr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223A"/>
    <w:pPr>
      <w:keepNext/>
      <w:jc w:val="both"/>
      <w:outlineLvl w:val="1"/>
    </w:pPr>
    <w:rPr>
      <w:i/>
      <w:iCs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223A"/>
    <w:pPr>
      <w:keepNext/>
      <w:ind w:firstLine="720"/>
      <w:jc w:val="both"/>
      <w:outlineLvl w:val="2"/>
    </w:pPr>
    <w:rPr>
      <w:i/>
      <w:iCs/>
      <w:sz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223A"/>
    <w:pPr>
      <w:keepNext/>
      <w:ind w:firstLine="720"/>
      <w:jc w:val="both"/>
      <w:outlineLvl w:val="3"/>
    </w:pPr>
    <w:rPr>
      <w:b/>
      <w:i/>
      <w:sz w:val="22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223A"/>
    <w:rPr>
      <w:rFonts w:ascii="Arial Armenian" w:eastAsia="Times New Roman" w:hAnsi="Arial Armenian"/>
      <w:i/>
      <w:iCs/>
      <w:sz w:val="24"/>
      <w:szCs w:val="24"/>
    </w:rPr>
  </w:style>
  <w:style w:type="character" w:customStyle="1" w:styleId="Heading2Char">
    <w:name w:val="Heading 2 Char"/>
    <w:link w:val="Heading2"/>
    <w:semiHidden/>
    <w:rsid w:val="0041223A"/>
    <w:rPr>
      <w:rFonts w:ascii="Arial Armenian" w:eastAsia="Times New Roman" w:hAnsi="Arial Armenian"/>
      <w:i/>
      <w:iCs/>
      <w:sz w:val="22"/>
      <w:szCs w:val="24"/>
    </w:rPr>
  </w:style>
  <w:style w:type="paragraph" w:styleId="BodyText">
    <w:name w:val="Body Text"/>
    <w:basedOn w:val="Normal"/>
    <w:link w:val="BodyTextChar"/>
    <w:rsid w:val="002602F4"/>
    <w:pPr>
      <w:jc w:val="both"/>
    </w:pPr>
    <w:rPr>
      <w:rFonts w:ascii="Arial LatArm" w:hAnsi="Arial LatArm"/>
      <w:sz w:val="20"/>
      <w:lang w:val="en-US" w:eastAsia="en-US"/>
    </w:rPr>
  </w:style>
  <w:style w:type="character" w:customStyle="1" w:styleId="BodyTextChar">
    <w:name w:val="Body Text Char"/>
    <w:link w:val="BodyText"/>
    <w:rsid w:val="002602F4"/>
    <w:rPr>
      <w:rFonts w:ascii="Arial LatArm" w:eastAsia="Times New Roman" w:hAnsi="Arial LatArm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5E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15E88"/>
    <w:rPr>
      <w:rFonts w:ascii="Arial Armenian" w:eastAsia="Times New Roman" w:hAnsi="Arial Armenian"/>
      <w:sz w:val="16"/>
      <w:szCs w:val="16"/>
      <w:lang w:val="ru-RU" w:eastAsia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"/>
    <w:basedOn w:val="Normal"/>
    <w:link w:val="ListParagraphChar"/>
    <w:uiPriority w:val="34"/>
    <w:qFormat/>
    <w:rsid w:val="001F39BB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B217A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41223A"/>
    <w:rPr>
      <w:rFonts w:ascii="Arial Armenian" w:eastAsia="Times New Roman" w:hAnsi="Arial Armenian"/>
      <w:i/>
      <w:iCs/>
      <w:sz w:val="22"/>
      <w:szCs w:val="24"/>
    </w:rPr>
  </w:style>
  <w:style w:type="character" w:customStyle="1" w:styleId="Heading4Char">
    <w:name w:val="Heading 4 Char"/>
    <w:link w:val="Heading4"/>
    <w:semiHidden/>
    <w:rsid w:val="0041223A"/>
    <w:rPr>
      <w:rFonts w:ascii="Arial Armenian" w:eastAsia="Times New Roman" w:hAnsi="Arial Armenian"/>
      <w:b/>
      <w:i/>
      <w:sz w:val="22"/>
      <w:szCs w:val="24"/>
      <w:lang w:val="af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223A"/>
    <w:pPr>
      <w:spacing w:after="120"/>
      <w:ind w:left="283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41223A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aliases w:val="h Char,Header Char Char Char Char Char,Header Char Char Char Char1,Header Char Char Char1"/>
    <w:link w:val="Header"/>
    <w:semiHidden/>
    <w:locked/>
    <w:rsid w:val="0041223A"/>
    <w:rPr>
      <w:rFonts w:ascii="Arial Armenian" w:eastAsia="Times New Roman" w:hAnsi="Arial Armenian" w:cs="Arial"/>
      <w:kern w:val="16"/>
      <w:sz w:val="24"/>
    </w:rPr>
  </w:style>
  <w:style w:type="paragraph" w:styleId="Header">
    <w:name w:val="header"/>
    <w:aliases w:val="h,Header Char Char Char Char,Header Char Char Char,Header Char Char"/>
    <w:basedOn w:val="Normal"/>
    <w:link w:val="HeaderChar"/>
    <w:semiHidden/>
    <w:unhideWhenUsed/>
    <w:rsid w:val="0041223A"/>
    <w:pPr>
      <w:tabs>
        <w:tab w:val="center" w:pos="4320"/>
        <w:tab w:val="right" w:pos="8640"/>
      </w:tabs>
    </w:pPr>
    <w:rPr>
      <w:rFonts w:cs="Arial"/>
      <w:kern w:val="16"/>
      <w:szCs w:val="20"/>
      <w:lang w:val="en-US" w:eastAsia="en-US"/>
    </w:rPr>
  </w:style>
  <w:style w:type="character" w:customStyle="1" w:styleId="HeaderChar1">
    <w:name w:val="Header Char1"/>
    <w:aliases w:val="h Char1,Header Char Char Char Char Char1,Header Char Char Char Char2,Header Char Char Char2"/>
    <w:link w:val="Header"/>
    <w:semiHidden/>
    <w:rsid w:val="0041223A"/>
    <w:rPr>
      <w:rFonts w:ascii="Arial Armenian" w:eastAsia="Times New Roman" w:hAnsi="Arial Armenian"/>
      <w:sz w:val="24"/>
      <w:szCs w:val="24"/>
      <w:lang w:val="ru-RU" w:eastAsia="ru-RU"/>
    </w:rPr>
  </w:style>
  <w:style w:type="character" w:customStyle="1" w:styleId="BodyText2Char">
    <w:name w:val="Body Text 2 Char"/>
    <w:link w:val="BodyText2"/>
    <w:uiPriority w:val="99"/>
    <w:semiHidden/>
    <w:rsid w:val="0041223A"/>
    <w:rPr>
      <w:rFonts w:ascii="Arial Armenian" w:eastAsia="Times New Roman" w:hAnsi="Arial Armeni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223A"/>
    <w:pPr>
      <w:jc w:val="center"/>
    </w:pPr>
    <w:rPr>
      <w:b/>
      <w:bCs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rsid w:val="0041223A"/>
    <w:rPr>
      <w:rFonts w:ascii="Arial Armenian" w:eastAsia="Times New Roman" w:hAnsi="Arial Armenian"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223A"/>
    <w:rPr>
      <w:i/>
      <w:iCs/>
      <w:lang w:val="en-U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41223A"/>
    <w:rPr>
      <w:rFonts w:ascii="Arial Armenian" w:eastAsia="Times New Roman" w:hAnsi="Arial Armenian"/>
      <w:sz w:val="24"/>
      <w:szCs w:val="24"/>
      <w:lang w:val="af-Z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223A"/>
    <w:pPr>
      <w:ind w:firstLine="708"/>
      <w:jc w:val="both"/>
    </w:pPr>
    <w:rPr>
      <w:lang w:val="af-ZA" w:eastAsia="en-US"/>
    </w:rPr>
  </w:style>
  <w:style w:type="character" w:customStyle="1" w:styleId="normChar">
    <w:name w:val="norm Char"/>
    <w:link w:val="norm"/>
    <w:locked/>
    <w:rsid w:val="0041223A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41223A"/>
    <w:pPr>
      <w:spacing w:line="480" w:lineRule="auto"/>
      <w:ind w:firstLine="709"/>
      <w:jc w:val="both"/>
    </w:pPr>
    <w:rPr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41223A"/>
  </w:style>
  <w:style w:type="character" w:customStyle="1" w:styleId="apple-converted-space">
    <w:name w:val="apple-converted-space"/>
    <w:basedOn w:val="DefaultParagraphFont"/>
    <w:rsid w:val="0041223A"/>
  </w:style>
  <w:style w:type="paragraph" w:styleId="NoSpacing">
    <w:name w:val="No Spacing"/>
    <w:link w:val="NoSpacingChar"/>
    <w:uiPriority w:val="1"/>
    <w:qFormat/>
    <w:rsid w:val="0041223A"/>
    <w:pPr>
      <w:ind w:left="576" w:hanging="576"/>
    </w:pPr>
    <w:rPr>
      <w:sz w:val="22"/>
      <w:szCs w:val="22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41223A"/>
    <w:rPr>
      <w:sz w:val="22"/>
      <w:szCs w:val="22"/>
      <w:lang w:bidi="ar-SA"/>
    </w:rPr>
  </w:style>
  <w:style w:type="character" w:styleId="FollowedHyperlink">
    <w:name w:val="FollowedHyperlink"/>
    <w:uiPriority w:val="99"/>
    <w:semiHidden/>
    <w:unhideWhenUsed/>
    <w:rsid w:val="00466DAD"/>
    <w:rPr>
      <w:color w:val="800080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66DA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466DAD"/>
    <w:pPr>
      <w:tabs>
        <w:tab w:val="left" w:pos="10260"/>
      </w:tabs>
      <w:ind w:left="990" w:right="270" w:firstLine="990"/>
      <w:jc w:val="both"/>
    </w:pPr>
    <w:rPr>
      <w:szCs w:val="20"/>
      <w:lang w:val="en-GB" w:eastAsia="en-US"/>
    </w:rPr>
  </w:style>
  <w:style w:type="table" w:styleId="TableGrid">
    <w:name w:val="Table Grid"/>
    <w:basedOn w:val="TableNormal"/>
    <w:uiPriority w:val="59"/>
    <w:rsid w:val="00466D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66D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AD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466DAD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B26F09"/>
    <w:rPr>
      <w:rFonts w:ascii="GHEA Grapalat" w:hAnsi="GHEA Grapala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Gayane Petrosyan</cp:lastModifiedBy>
  <cp:revision>2</cp:revision>
  <cp:lastPrinted>2018-07-12T08:41:00Z</cp:lastPrinted>
  <dcterms:created xsi:type="dcterms:W3CDTF">2021-11-22T07:49:00Z</dcterms:created>
  <dcterms:modified xsi:type="dcterms:W3CDTF">2021-11-22T07:49:00Z</dcterms:modified>
</cp:coreProperties>
</file>