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711B9F9"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A56FF7">
        <w:rPr>
          <w:rFonts w:ascii="GHEA Grapalat" w:hAnsi="GHEA Grapalat"/>
          <w:b/>
          <w:bCs/>
          <w:lang w:val="hy-AM"/>
        </w:rPr>
        <w:t>6</w:t>
      </w:r>
      <w:r w:rsidRPr="00C67BBB">
        <w:rPr>
          <w:rFonts w:ascii="GHEA Grapalat" w:hAnsi="GHEA Grapalat"/>
          <w:b/>
          <w:bCs/>
          <w:lang w:val="hy-AM"/>
        </w:rPr>
        <w:t>թ.</w:t>
      </w:r>
      <w:r w:rsidR="000F0DBA">
        <w:rPr>
          <w:rFonts w:ascii="GHEA Grapalat" w:hAnsi="GHEA Grapalat"/>
          <w:b/>
          <w:bCs/>
          <w:lang w:val="hy-AM"/>
        </w:rPr>
        <w:t xml:space="preserve"> </w:t>
      </w:r>
      <w:r w:rsidR="007D7C4B">
        <w:rPr>
          <w:rFonts w:ascii="GHEA Grapalat" w:hAnsi="GHEA Grapalat"/>
          <w:b/>
          <w:bCs/>
          <w:lang w:val="hy-AM"/>
        </w:rPr>
        <w:t>մայիսի 22</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7D7C4B">
        <w:rPr>
          <w:rFonts w:ascii="GHEA Grapalat" w:hAnsi="GHEA Grapalat"/>
          <w:b/>
          <w:bCs/>
          <w:lang w:val="hy-AM"/>
        </w:rPr>
        <w:t>11</w:t>
      </w:r>
      <w:r w:rsidR="00CA12FC">
        <w:rPr>
          <w:rFonts w:ascii="GHEA Grapalat" w:hAnsi="GHEA Grapalat"/>
          <w:b/>
          <w:bCs/>
          <w:lang w:val="hy-AM"/>
        </w:rPr>
        <w:t>։</w:t>
      </w:r>
      <w:r w:rsidR="00634880">
        <w:rPr>
          <w:rFonts w:ascii="GHEA Grapalat" w:hAnsi="GHEA Grapalat"/>
          <w:b/>
          <w:bCs/>
          <w:lang w:val="hy-AM"/>
        </w:rPr>
        <w:t>0</w:t>
      </w:r>
      <w:r w:rsidR="007D7C4B">
        <w:rPr>
          <w:rFonts w:ascii="GHEA Grapalat" w:hAnsi="GHEA Grapalat"/>
          <w:b/>
          <w:bCs/>
          <w:lang w:val="hy-AM"/>
        </w:rPr>
        <w:t>5</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7D7C4B" w:rsidRPr="005C568E">
          <w:rPr>
            <w:rStyle w:val="a5"/>
            <w:rFonts w:ascii="GHEA Grapalat" w:hAnsi="GHEA Grapalat"/>
            <w:b/>
            <w:bCs/>
            <w:lang w:val="hy-AM"/>
          </w:rPr>
          <w:t>https://www.e-auctions.am</w:t>
        </w:r>
      </w:hyperlink>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95B7E31"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D559C1">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17545F">
        <w:rPr>
          <w:rFonts w:ascii="GHEA Grapalat" w:eastAsia="Microsoft JhengHei" w:hAnsi="GHEA Grapalat" w:cs="Sylfaen"/>
          <w:b/>
          <w:bCs/>
          <w:color w:val="000000"/>
          <w:kern w:val="0"/>
          <w:lang w:val="hy-AM"/>
          <w14:ligatures w14:val="none"/>
        </w:rPr>
        <w:t>նոյեմբերի</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20</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17545F">
        <w:rPr>
          <w:rFonts w:ascii="GHEA Grapalat" w:eastAsia="Microsoft JhengHei" w:hAnsi="GHEA Grapalat" w:cs="Arial"/>
          <w:b/>
          <w:bCs/>
          <w:color w:val="000000"/>
          <w:kern w:val="0"/>
          <w:lang w:val="hy-AM"/>
          <w14:ligatures w14:val="none"/>
        </w:rPr>
        <w:t>571</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օտարման ենթակա</w:t>
      </w:r>
      <w:r w:rsidR="00273948">
        <w:rPr>
          <w:rFonts w:ascii="GHEA Grapalat" w:hAnsi="GHEA Grapalat"/>
          <w:b/>
          <w:bCs/>
          <w:lang w:val="hy-AM"/>
        </w:rPr>
        <w:t xml:space="preserve"> Հայաստանի Հանրապետության սեփականությունը հանդիսացող</w:t>
      </w:r>
      <w:r w:rsidR="002F76E3" w:rsidRPr="00A20E17">
        <w:rPr>
          <w:rFonts w:ascii="GHEA Grapalat" w:hAnsi="GHEA Grapalat"/>
          <w:b/>
          <w:bCs/>
          <w:lang w:val="hy-AM"/>
        </w:rPr>
        <w:t xml:space="preserve"> </w:t>
      </w:r>
      <w:r w:rsidR="003E33EA">
        <w:rPr>
          <w:rFonts w:ascii="GHEA Grapalat" w:hAnsi="GHEA Grapalat"/>
          <w:b/>
          <w:bCs/>
          <w:lang w:val="hy-AM"/>
        </w:rPr>
        <w:t>շարժական գույք</w:t>
      </w:r>
    </w:p>
    <w:tbl>
      <w:tblPr>
        <w:tblW w:w="12415" w:type="dxa"/>
        <w:jc w:val="center"/>
        <w:tblLook w:val="04A0" w:firstRow="1" w:lastRow="0" w:firstColumn="1" w:lastColumn="0" w:noHBand="0" w:noVBand="1"/>
      </w:tblPr>
      <w:tblGrid>
        <w:gridCol w:w="594"/>
        <w:gridCol w:w="1129"/>
        <w:gridCol w:w="1242"/>
        <w:gridCol w:w="1417"/>
        <w:gridCol w:w="1338"/>
        <w:gridCol w:w="1475"/>
        <w:gridCol w:w="1384"/>
        <w:gridCol w:w="1249"/>
        <w:gridCol w:w="1218"/>
        <w:gridCol w:w="1369"/>
      </w:tblGrid>
      <w:tr w:rsidR="00F03496" w:rsidRPr="00AB701C" w14:paraId="2BFDB83A" w14:textId="1BA1B4F0" w:rsidTr="00781DBF">
        <w:trPr>
          <w:trHeight w:val="1080"/>
          <w:jc w:val="center"/>
        </w:trPr>
        <w:tc>
          <w:tcPr>
            <w:tcW w:w="594"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1129" w:type="dxa"/>
            <w:tcBorders>
              <w:top w:val="single" w:sz="4" w:space="0" w:color="auto"/>
              <w:left w:val="nil"/>
              <w:bottom w:val="single" w:sz="4" w:space="0" w:color="auto"/>
              <w:right w:val="single" w:sz="4" w:space="0" w:color="auto"/>
            </w:tcBorders>
            <w:vAlign w:val="center"/>
            <w:hideMark/>
          </w:tcPr>
          <w:p w14:paraId="77260FE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242" w:type="dxa"/>
            <w:tcBorders>
              <w:top w:val="single" w:sz="4" w:space="0" w:color="auto"/>
              <w:left w:val="nil"/>
              <w:bottom w:val="single" w:sz="4" w:space="0" w:color="auto"/>
              <w:right w:val="single" w:sz="4" w:space="0" w:color="auto"/>
            </w:tcBorders>
            <w:vAlign w:val="center"/>
            <w:hideMark/>
          </w:tcPr>
          <w:p w14:paraId="0A3D1326"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անվանումը</w:t>
            </w:r>
          </w:p>
        </w:tc>
        <w:tc>
          <w:tcPr>
            <w:tcW w:w="1417" w:type="dxa"/>
            <w:tcBorders>
              <w:top w:val="single" w:sz="4" w:space="0" w:color="auto"/>
              <w:left w:val="nil"/>
              <w:bottom w:val="single" w:sz="4" w:space="0" w:color="auto"/>
              <w:right w:val="single" w:sz="4" w:space="0" w:color="auto"/>
            </w:tcBorders>
            <w:vAlign w:val="center"/>
            <w:hideMark/>
          </w:tcPr>
          <w:p w14:paraId="64144097"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338" w:type="dxa"/>
            <w:tcBorders>
              <w:top w:val="single" w:sz="4" w:space="0" w:color="auto"/>
              <w:left w:val="nil"/>
              <w:bottom w:val="single" w:sz="4" w:space="0" w:color="auto"/>
              <w:right w:val="single" w:sz="4" w:space="0" w:color="auto"/>
            </w:tcBorders>
            <w:vAlign w:val="center"/>
            <w:hideMark/>
          </w:tcPr>
          <w:p w14:paraId="77FECC00" w14:textId="77777777"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475" w:type="dxa"/>
            <w:tcBorders>
              <w:top w:val="single" w:sz="4" w:space="0" w:color="auto"/>
              <w:left w:val="nil"/>
              <w:bottom w:val="single" w:sz="4" w:space="0" w:color="auto"/>
              <w:right w:val="single" w:sz="4" w:space="0" w:color="auto"/>
            </w:tcBorders>
            <w:vAlign w:val="center"/>
            <w:hideMark/>
          </w:tcPr>
          <w:p w14:paraId="04E51277" w14:textId="5286967C"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384" w:type="dxa"/>
            <w:tcBorders>
              <w:top w:val="single" w:sz="4" w:space="0" w:color="auto"/>
              <w:left w:val="nil"/>
              <w:bottom w:val="single" w:sz="4" w:space="0" w:color="auto"/>
              <w:right w:val="single" w:sz="4" w:space="0" w:color="auto"/>
            </w:tcBorders>
            <w:vAlign w:val="center"/>
            <w:hideMark/>
          </w:tcPr>
          <w:p w14:paraId="63021973" w14:textId="7D350A86"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249" w:type="dxa"/>
            <w:tcBorders>
              <w:top w:val="single" w:sz="4" w:space="0" w:color="auto"/>
              <w:left w:val="nil"/>
              <w:bottom w:val="single" w:sz="4" w:space="0" w:color="auto"/>
              <w:right w:val="single" w:sz="4" w:space="0" w:color="auto"/>
            </w:tcBorders>
            <w:vAlign w:val="center"/>
            <w:hideMark/>
          </w:tcPr>
          <w:p w14:paraId="62972FC9" w14:textId="41981F7F"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218" w:type="dxa"/>
            <w:tcBorders>
              <w:top w:val="single" w:sz="4" w:space="0" w:color="auto"/>
              <w:left w:val="nil"/>
              <w:bottom w:val="single" w:sz="4" w:space="0" w:color="auto"/>
              <w:right w:val="single" w:sz="4" w:space="0" w:color="auto"/>
            </w:tcBorders>
            <w:vAlign w:val="center"/>
            <w:hideMark/>
          </w:tcPr>
          <w:p w14:paraId="5D111825" w14:textId="25FDD51A" w:rsidR="00F03496" w:rsidRPr="00AB701C" w:rsidRDefault="00F03496" w:rsidP="00F03496">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tc>
        <w:tc>
          <w:tcPr>
            <w:tcW w:w="1369" w:type="dxa"/>
            <w:tcBorders>
              <w:top w:val="single" w:sz="4" w:space="0" w:color="auto"/>
              <w:left w:val="nil"/>
              <w:bottom w:val="single" w:sz="4" w:space="0" w:color="auto"/>
              <w:right w:val="single" w:sz="4" w:space="0" w:color="auto"/>
            </w:tcBorders>
            <w:vAlign w:val="center"/>
          </w:tcPr>
          <w:p w14:paraId="6498057F" w14:textId="77777777" w:rsidR="00FA76A5" w:rsidRPr="00FA76A5"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 xml:space="preserve">Գույքի արժեքի րոշման համար նախատեսված գումարը </w:t>
            </w:r>
          </w:p>
          <w:p w14:paraId="25A71D47" w14:textId="3717D405" w:rsidR="00F03496" w:rsidRPr="007E6A0E" w:rsidRDefault="00FA76A5" w:rsidP="00FA76A5">
            <w:pPr>
              <w:spacing w:after="0" w:line="240" w:lineRule="auto"/>
              <w:jc w:val="center"/>
              <w:rPr>
                <w:rFonts w:ascii="GHEA Grapalat" w:eastAsia="Times New Roman" w:hAnsi="GHEA Grapalat" w:cs="Calibri"/>
                <w:b/>
                <w:bCs/>
                <w:kern w:val="0"/>
                <w:sz w:val="14"/>
                <w:szCs w:val="14"/>
                <w14:ligatures w14:val="none"/>
              </w:rPr>
            </w:pPr>
            <w:r w:rsidRPr="00FA76A5">
              <w:rPr>
                <w:rFonts w:ascii="GHEA Grapalat" w:eastAsia="Times New Roman" w:hAnsi="GHEA Grapalat" w:cs="Calibri"/>
                <w:b/>
                <w:bCs/>
                <w:kern w:val="0"/>
                <w:sz w:val="14"/>
                <w:szCs w:val="14"/>
                <w14:ligatures w14:val="none"/>
              </w:rPr>
              <w:t>/ՀՀ դրամ/</w:t>
            </w:r>
          </w:p>
        </w:tc>
      </w:tr>
      <w:tr w:rsidR="00F03496" w:rsidRPr="00AB701C" w14:paraId="2C43B4ED" w14:textId="171AE837" w:rsidTr="00781DBF">
        <w:trPr>
          <w:trHeight w:val="930"/>
          <w:jc w:val="center"/>
        </w:trPr>
        <w:tc>
          <w:tcPr>
            <w:tcW w:w="594"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F03496" w:rsidRPr="00AB701C"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AB701C">
              <w:rPr>
                <w:rFonts w:ascii="GHEA Grapalat" w:eastAsia="Times New Roman" w:hAnsi="GHEA Grapalat" w:cs="Calibri"/>
                <w:kern w:val="0"/>
                <w:sz w:val="14"/>
                <w:szCs w:val="14"/>
                <w:lang w:val="hy-AM"/>
                <w14:ligatures w14:val="none"/>
              </w:rPr>
              <w:t>1</w:t>
            </w:r>
          </w:p>
        </w:tc>
        <w:tc>
          <w:tcPr>
            <w:tcW w:w="1129" w:type="dxa"/>
            <w:tcBorders>
              <w:top w:val="single" w:sz="4" w:space="0" w:color="auto"/>
              <w:left w:val="nil"/>
              <w:bottom w:val="single" w:sz="4" w:space="0" w:color="auto"/>
              <w:right w:val="single" w:sz="4" w:space="0" w:color="auto"/>
            </w:tcBorders>
            <w:noWrap/>
            <w:vAlign w:val="center"/>
            <w:hideMark/>
          </w:tcPr>
          <w:p w14:paraId="462AC639" w14:textId="3EF6688B" w:rsidR="00F03496" w:rsidRPr="00DF4765" w:rsidRDefault="00F03496"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14:ligatures w14:val="none"/>
              </w:rPr>
              <w:t>1</w:t>
            </w:r>
          </w:p>
        </w:tc>
        <w:tc>
          <w:tcPr>
            <w:tcW w:w="1242" w:type="dxa"/>
            <w:tcBorders>
              <w:top w:val="single" w:sz="4" w:space="0" w:color="auto"/>
              <w:left w:val="nil"/>
              <w:bottom w:val="single" w:sz="4" w:space="0" w:color="auto"/>
              <w:right w:val="single" w:sz="4" w:space="0" w:color="auto"/>
            </w:tcBorders>
            <w:vAlign w:val="center"/>
            <w:hideMark/>
          </w:tcPr>
          <w:p w14:paraId="72035A43" w14:textId="0F98A469" w:rsidR="00F03496" w:rsidRPr="002A6D22"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2A6D22">
              <w:rPr>
                <w:rFonts w:ascii="GHEA Grapalat" w:eastAsia="Times New Roman" w:hAnsi="GHEA Grapalat" w:cs="Calibri"/>
                <w:kern w:val="0"/>
                <w:sz w:val="14"/>
                <w:szCs w:val="14"/>
                <w:lang w:val="hy-AM"/>
                <w14:ligatures w14:val="none"/>
              </w:rPr>
              <w:t>Շարժական գույք (</w:t>
            </w:r>
            <w:r w:rsidR="0017545F">
              <w:rPr>
                <w:rFonts w:ascii="GHEA Grapalat" w:eastAsia="Times New Roman" w:hAnsi="GHEA Grapalat" w:cs="Calibri"/>
                <w:kern w:val="0"/>
                <w:sz w:val="14"/>
                <w:szCs w:val="14"/>
                <w:lang w:val="hy-AM"/>
                <w14:ligatures w14:val="none"/>
              </w:rPr>
              <w:t>13</w:t>
            </w:r>
            <w:r>
              <w:rPr>
                <w:rFonts w:ascii="GHEA Grapalat" w:eastAsia="Times New Roman" w:hAnsi="GHEA Grapalat" w:cs="Calibri"/>
                <w:kern w:val="0"/>
                <w:sz w:val="14"/>
                <w:szCs w:val="14"/>
                <w:lang w:val="hy-AM"/>
                <w14:ligatures w14:val="none"/>
              </w:rPr>
              <w:t xml:space="preserve"> անվանում</w:t>
            </w:r>
            <w:r w:rsidRPr="002A6D22">
              <w:rPr>
                <w:rFonts w:ascii="GHEA Grapalat" w:eastAsia="Times New Roman" w:hAnsi="GHEA Grapalat" w:cs="Calibri"/>
                <w:kern w:val="0"/>
                <w:sz w:val="14"/>
                <w:szCs w:val="14"/>
                <w:lang w:val="hy-AM"/>
                <w14:ligatures w14:val="none"/>
              </w:rPr>
              <w:t>)</w:t>
            </w:r>
          </w:p>
        </w:tc>
        <w:tc>
          <w:tcPr>
            <w:tcW w:w="1417" w:type="dxa"/>
            <w:tcBorders>
              <w:top w:val="single" w:sz="4" w:space="0" w:color="auto"/>
              <w:left w:val="nil"/>
              <w:bottom w:val="single" w:sz="4" w:space="0" w:color="auto"/>
              <w:right w:val="single" w:sz="4" w:space="0" w:color="auto"/>
            </w:tcBorders>
            <w:vAlign w:val="center"/>
            <w:hideMark/>
          </w:tcPr>
          <w:p w14:paraId="51AE999D" w14:textId="77777777" w:rsidR="00781DBF" w:rsidRDefault="00F03496" w:rsidP="00F03496">
            <w:pPr>
              <w:spacing w:after="0" w:line="240" w:lineRule="auto"/>
              <w:jc w:val="center"/>
              <w:rPr>
                <w:rFonts w:ascii="GHEA Grapalat" w:eastAsia="Times New Roman" w:hAnsi="GHEA Grapalat" w:cs="Calibri"/>
                <w:kern w:val="0"/>
                <w:sz w:val="14"/>
                <w:szCs w:val="14"/>
                <w:lang w:val="hy-AM"/>
                <w14:ligatures w14:val="none"/>
              </w:rPr>
            </w:pPr>
            <w:r w:rsidRPr="00781DBF">
              <w:rPr>
                <w:rFonts w:ascii="GHEA Grapalat" w:eastAsia="Microsoft JhengHei" w:hAnsi="GHEA Grapalat" w:cs="Microsoft JhengHei"/>
                <w:kern w:val="0"/>
                <w:sz w:val="14"/>
                <w:szCs w:val="14"/>
                <w:lang w:val="hy-AM"/>
                <w14:ligatures w14:val="none"/>
              </w:rPr>
              <w:t>ք</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Երևան, </w:t>
            </w:r>
            <w:r w:rsidR="00781DBF" w:rsidRPr="00781DBF">
              <w:rPr>
                <w:rFonts w:ascii="GHEA Grapalat" w:eastAsia="Times New Roman" w:hAnsi="GHEA Grapalat" w:cs="Calibri"/>
                <w:kern w:val="0"/>
                <w:sz w:val="14"/>
                <w:szCs w:val="14"/>
                <w:lang w:val="hy-AM"/>
                <w14:ligatures w14:val="none"/>
              </w:rPr>
              <w:t xml:space="preserve">Նալբանդյան 104 հասցե </w:t>
            </w:r>
          </w:p>
          <w:p w14:paraId="05AAA937" w14:textId="194A47BB" w:rsidR="00F03496" w:rsidRPr="00781DBF" w:rsidRDefault="00781DBF" w:rsidP="00F03496">
            <w:pPr>
              <w:spacing w:after="0" w:line="240" w:lineRule="auto"/>
              <w:jc w:val="center"/>
              <w:rPr>
                <w:rFonts w:ascii="GHEA Grapalat" w:eastAsia="Microsoft JhengHei" w:hAnsi="GHEA Grapalat" w:cs="Microsoft JhengHei"/>
                <w:kern w:val="0"/>
                <w:sz w:val="14"/>
                <w:szCs w:val="14"/>
                <w:lang w:val="hy-AM"/>
                <w14:ligatures w14:val="none"/>
              </w:rPr>
            </w:pPr>
            <w:r w:rsidRPr="00781DBF">
              <w:rPr>
                <w:rFonts w:ascii="GHEA Grapalat" w:eastAsia="Times New Roman" w:hAnsi="GHEA Grapalat" w:cs="Calibri"/>
                <w:kern w:val="0"/>
                <w:sz w:val="14"/>
                <w:szCs w:val="14"/>
                <w:lang w:val="hy-AM"/>
                <w14:ligatures w14:val="none"/>
              </w:rPr>
              <w:t>հեռ</w:t>
            </w:r>
            <w:r w:rsidRPr="00781DBF">
              <w:rPr>
                <w:rFonts w:ascii="MS Mincho" w:eastAsia="MS Mincho" w:hAnsi="MS Mincho" w:cs="MS Mincho" w:hint="eastAsia"/>
                <w:kern w:val="0"/>
                <w:sz w:val="14"/>
                <w:szCs w:val="14"/>
                <w:lang w:val="hy-AM"/>
                <w14:ligatures w14:val="none"/>
              </w:rPr>
              <w:t>․</w:t>
            </w:r>
            <w:r w:rsidRPr="00781DBF">
              <w:rPr>
                <w:rFonts w:ascii="GHEA Grapalat" w:eastAsia="Times New Roman" w:hAnsi="GHEA Grapalat" w:cs="Calibri"/>
                <w:kern w:val="0"/>
                <w:sz w:val="14"/>
                <w:szCs w:val="14"/>
                <w:lang w:val="hy-AM"/>
                <w14:ligatures w14:val="none"/>
              </w:rPr>
              <w:t xml:space="preserve"> 091-77-30-04</w:t>
            </w:r>
          </w:p>
        </w:tc>
        <w:tc>
          <w:tcPr>
            <w:tcW w:w="1338" w:type="dxa"/>
            <w:tcBorders>
              <w:top w:val="single" w:sz="4" w:space="0" w:color="auto"/>
              <w:left w:val="nil"/>
              <w:bottom w:val="single" w:sz="4" w:space="0" w:color="auto"/>
              <w:right w:val="single" w:sz="4" w:space="0" w:color="auto"/>
            </w:tcBorders>
            <w:vAlign w:val="center"/>
            <w:hideMark/>
          </w:tcPr>
          <w:p w14:paraId="7F2A539B" w14:textId="013AF5ED" w:rsidR="00F03496" w:rsidRPr="00CC38F0" w:rsidRDefault="00F03496" w:rsidP="00F03496">
            <w:pPr>
              <w:spacing w:after="0" w:line="240" w:lineRule="auto"/>
              <w:jc w:val="center"/>
              <w:rPr>
                <w:rFonts w:ascii="GHEA Grapalat" w:eastAsia="Microsoft JhengHei" w:hAnsi="GHEA Grapalat" w:cs="Microsoft JhengHei"/>
                <w:kern w:val="0"/>
                <w:sz w:val="14"/>
                <w:szCs w:val="14"/>
                <w:lang w:val="hy-AM"/>
                <w14:ligatures w14:val="none"/>
              </w:rPr>
            </w:pPr>
            <w:r>
              <w:rPr>
                <w:rFonts w:ascii="GHEA Grapalat" w:eastAsia="Times New Roman" w:hAnsi="GHEA Grapalat" w:cs="Calibri"/>
                <w:kern w:val="0"/>
                <w:sz w:val="14"/>
                <w:szCs w:val="14"/>
                <w:lang w:val="hy-AM"/>
                <w14:ligatures w14:val="none"/>
              </w:rPr>
              <w:t>Գործարանային արտադրության, չօգտագործված պահեստամասեր</w:t>
            </w:r>
          </w:p>
        </w:tc>
        <w:tc>
          <w:tcPr>
            <w:tcW w:w="1475" w:type="dxa"/>
            <w:tcBorders>
              <w:top w:val="single" w:sz="4" w:space="0" w:color="auto"/>
              <w:left w:val="nil"/>
              <w:bottom w:val="single" w:sz="4" w:space="0" w:color="auto"/>
              <w:right w:val="single" w:sz="4" w:space="0" w:color="auto"/>
            </w:tcBorders>
            <w:vAlign w:val="center"/>
            <w:hideMark/>
          </w:tcPr>
          <w:p w14:paraId="15D65D18" w14:textId="11561746"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733 000</w:t>
            </w:r>
          </w:p>
        </w:tc>
        <w:tc>
          <w:tcPr>
            <w:tcW w:w="1384" w:type="dxa"/>
            <w:tcBorders>
              <w:top w:val="single" w:sz="4" w:space="0" w:color="auto"/>
              <w:left w:val="nil"/>
              <w:bottom w:val="single" w:sz="4" w:space="0" w:color="auto"/>
              <w:right w:val="single" w:sz="4" w:space="0" w:color="auto"/>
            </w:tcBorders>
            <w:vAlign w:val="center"/>
            <w:hideMark/>
          </w:tcPr>
          <w:p w14:paraId="5BBE17E4" w14:textId="098A1D37" w:rsidR="00F03496" w:rsidRPr="00AB701C" w:rsidRDefault="00ED5879" w:rsidP="00F03496">
            <w:pPr>
              <w:spacing w:after="0" w:line="240" w:lineRule="auto"/>
              <w:jc w:val="center"/>
              <w:rPr>
                <w:rFonts w:ascii="GHEA Grapalat" w:eastAsia="Times New Roman" w:hAnsi="GHEA Grapalat" w:cs="Calibri"/>
                <w:kern w:val="0"/>
                <w:sz w:val="14"/>
                <w:szCs w:val="14"/>
                <w:lang w:val="hy-AM"/>
                <w14:ligatures w14:val="none"/>
              </w:rPr>
            </w:pPr>
            <w:r w:rsidRPr="00ED5879">
              <w:rPr>
                <w:rFonts w:ascii="GHEA Grapalat" w:eastAsia="Times New Roman" w:hAnsi="GHEA Grapalat" w:cs="Calibri"/>
                <w:kern w:val="0"/>
                <w:sz w:val="14"/>
                <w:szCs w:val="14"/>
                <w14:ligatures w14:val="none"/>
              </w:rPr>
              <w:t>276</w:t>
            </w:r>
            <w:r>
              <w:rPr>
                <w:rFonts w:ascii="GHEA Grapalat" w:eastAsia="Times New Roman" w:hAnsi="GHEA Grapalat" w:cs="Calibri"/>
                <w:kern w:val="0"/>
                <w:sz w:val="14"/>
                <w:szCs w:val="14"/>
                <w:lang w:val="hy-AM"/>
                <w14:ligatures w14:val="none"/>
              </w:rPr>
              <w:t xml:space="preserve"> </w:t>
            </w:r>
            <w:r w:rsidRPr="00ED5879">
              <w:rPr>
                <w:rFonts w:ascii="GHEA Grapalat" w:eastAsia="Times New Roman" w:hAnsi="GHEA Grapalat" w:cs="Calibri"/>
                <w:kern w:val="0"/>
                <w:sz w:val="14"/>
                <w:szCs w:val="14"/>
                <w14:ligatures w14:val="none"/>
              </w:rPr>
              <w:t>450.6</w:t>
            </w:r>
          </w:p>
        </w:tc>
        <w:tc>
          <w:tcPr>
            <w:tcW w:w="1249" w:type="dxa"/>
            <w:tcBorders>
              <w:top w:val="single" w:sz="4" w:space="0" w:color="auto"/>
              <w:left w:val="nil"/>
              <w:bottom w:val="single" w:sz="4" w:space="0" w:color="auto"/>
              <w:right w:val="single" w:sz="4" w:space="0" w:color="auto"/>
            </w:tcBorders>
            <w:vAlign w:val="center"/>
            <w:hideMark/>
          </w:tcPr>
          <w:p w14:paraId="26A76C2F" w14:textId="54E5CAAA" w:rsidR="00F03496" w:rsidRPr="00AB701C" w:rsidRDefault="00ED5879" w:rsidP="00F03496">
            <w:pPr>
              <w:spacing w:after="0" w:line="240" w:lineRule="auto"/>
              <w:jc w:val="center"/>
              <w:rPr>
                <w:rFonts w:ascii="GHEA Grapalat" w:eastAsia="Times New Roman" w:hAnsi="GHEA Grapalat" w:cs="Calibri"/>
                <w:kern w:val="0"/>
                <w:sz w:val="14"/>
                <w:szCs w:val="14"/>
                <w:lang w:val="hy-AM"/>
                <w14:ligatures w14:val="none"/>
              </w:rPr>
            </w:pPr>
            <w:r w:rsidRPr="00ED5879">
              <w:rPr>
                <w:rFonts w:ascii="GHEA Grapalat" w:eastAsia="Times New Roman" w:hAnsi="GHEA Grapalat" w:cs="Calibri"/>
                <w:kern w:val="0"/>
                <w:sz w:val="14"/>
                <w:szCs w:val="14"/>
                <w14:ligatures w14:val="none"/>
              </w:rPr>
              <w:t>110</w:t>
            </w:r>
            <w:r>
              <w:rPr>
                <w:rFonts w:ascii="GHEA Grapalat" w:eastAsia="Times New Roman" w:hAnsi="GHEA Grapalat" w:cs="Calibri"/>
                <w:kern w:val="0"/>
                <w:sz w:val="14"/>
                <w:szCs w:val="14"/>
                <w:lang w:val="hy-AM"/>
                <w14:ligatures w14:val="none"/>
              </w:rPr>
              <w:t xml:space="preserve"> </w:t>
            </w:r>
            <w:r w:rsidRPr="00ED5879">
              <w:rPr>
                <w:rFonts w:ascii="GHEA Grapalat" w:eastAsia="Times New Roman" w:hAnsi="GHEA Grapalat" w:cs="Calibri"/>
                <w:kern w:val="0"/>
                <w:sz w:val="14"/>
                <w:szCs w:val="14"/>
                <w14:ligatures w14:val="none"/>
              </w:rPr>
              <w:t>580.24</w:t>
            </w:r>
          </w:p>
        </w:tc>
        <w:tc>
          <w:tcPr>
            <w:tcW w:w="1218" w:type="dxa"/>
            <w:tcBorders>
              <w:top w:val="single" w:sz="4" w:space="0" w:color="auto"/>
              <w:left w:val="nil"/>
              <w:bottom w:val="single" w:sz="4" w:space="0" w:color="auto"/>
              <w:right w:val="single" w:sz="4" w:space="0" w:color="auto"/>
            </w:tcBorders>
            <w:vAlign w:val="center"/>
            <w:hideMark/>
          </w:tcPr>
          <w:p w14:paraId="7FEDFF31" w14:textId="1668F598" w:rsidR="00F03496" w:rsidRPr="00AB701C"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1</w:t>
            </w:r>
            <w:r w:rsidR="00F03496">
              <w:rPr>
                <w:rFonts w:ascii="GHEA Grapalat" w:eastAsia="Times New Roman" w:hAnsi="GHEA Grapalat" w:cs="Calibri"/>
                <w:kern w:val="0"/>
                <w:sz w:val="14"/>
                <w:szCs w:val="14"/>
                <w:lang w:val="hy-AM"/>
                <w14:ligatures w14:val="none"/>
              </w:rPr>
              <w:t>000</w:t>
            </w:r>
          </w:p>
        </w:tc>
        <w:tc>
          <w:tcPr>
            <w:tcW w:w="1369" w:type="dxa"/>
            <w:tcBorders>
              <w:top w:val="single" w:sz="4" w:space="0" w:color="auto"/>
              <w:left w:val="nil"/>
              <w:bottom w:val="single" w:sz="4" w:space="0" w:color="auto"/>
              <w:right w:val="single" w:sz="4" w:space="0" w:color="auto"/>
            </w:tcBorders>
            <w:vAlign w:val="center"/>
          </w:tcPr>
          <w:p w14:paraId="7E4B3B07" w14:textId="5EA250F1" w:rsidR="00F03496" w:rsidRDefault="0017545F" w:rsidP="00F03496">
            <w:pPr>
              <w:spacing w:after="0" w:line="240" w:lineRule="auto"/>
              <w:jc w:val="center"/>
              <w:rPr>
                <w:rFonts w:ascii="GHEA Grapalat" w:eastAsia="Times New Roman" w:hAnsi="GHEA Grapalat" w:cs="Calibri"/>
                <w:kern w:val="0"/>
                <w:sz w:val="14"/>
                <w:szCs w:val="14"/>
                <w:lang w:val="hy-AM"/>
                <w14:ligatures w14:val="none"/>
              </w:rPr>
            </w:pPr>
            <w:r>
              <w:rPr>
                <w:rFonts w:ascii="GHEA Grapalat" w:eastAsia="Times New Roman" w:hAnsi="GHEA Grapalat" w:cs="Calibri"/>
                <w:kern w:val="0"/>
                <w:sz w:val="14"/>
                <w:szCs w:val="14"/>
                <w:lang w:val="hy-AM"/>
                <w14:ligatures w14:val="none"/>
              </w:rPr>
              <w:t>45 980</w:t>
            </w:r>
          </w:p>
        </w:tc>
      </w:tr>
      <w:bookmarkEnd w:id="1"/>
    </w:tbl>
    <w:p w14:paraId="7179DDC2" w14:textId="77777777" w:rsidR="00B077EE" w:rsidRDefault="00B077EE" w:rsidP="009E1D56">
      <w:pPr>
        <w:ind w:left="90"/>
        <w:contextualSpacing/>
        <w:jc w:val="both"/>
        <w:rPr>
          <w:rFonts w:ascii="GHEA Grapalat" w:hAnsi="GHEA Grapalat"/>
          <w:b/>
          <w:bCs/>
          <w:i/>
          <w:iCs/>
          <w:sz w:val="16"/>
          <w:szCs w:val="16"/>
        </w:rPr>
      </w:pPr>
    </w:p>
    <w:p w14:paraId="5D7BC635" w14:textId="77777777" w:rsidR="009B0B57" w:rsidRPr="009B0B57" w:rsidRDefault="009B0B57" w:rsidP="009B0B57">
      <w:pPr>
        <w:spacing w:after="0" w:line="240" w:lineRule="auto"/>
        <w:ind w:firstLine="4860"/>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ՑԱՆԿ</w:t>
      </w:r>
    </w:p>
    <w:p w14:paraId="706FD929"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 xml:space="preserve">Հայաստանի Հանրապետության ազգային անվտանգության ծառայության հաշվեկշռում հաշվառված դասական աճուրդով </w:t>
      </w:r>
    </w:p>
    <w:p w14:paraId="0DEAE80B" w14:textId="7A556B9E"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օտարման ենթակա 1</w:t>
      </w:r>
      <w:r w:rsidR="0017545F">
        <w:rPr>
          <w:rFonts w:ascii="GHEA Grapalat" w:eastAsia="Times New Roman" w:hAnsi="GHEA Grapalat" w:cs="Sylfaen"/>
          <w:b/>
          <w:bCs/>
          <w:kern w:val="16"/>
          <w:sz w:val="20"/>
          <w:szCs w:val="20"/>
          <w:lang w:val="hy-AM"/>
          <w14:ligatures w14:val="none"/>
        </w:rPr>
        <w:t>3</w:t>
      </w:r>
      <w:r w:rsidRPr="009B0B57">
        <w:rPr>
          <w:rFonts w:ascii="GHEA Grapalat" w:eastAsia="Times New Roman" w:hAnsi="GHEA Grapalat" w:cs="Sylfaen"/>
          <w:b/>
          <w:bCs/>
          <w:kern w:val="16"/>
          <w:sz w:val="20"/>
          <w:szCs w:val="20"/>
          <w:lang w:val="hy-AM"/>
          <w14:ligatures w14:val="none"/>
        </w:rPr>
        <w:t xml:space="preserve"> անվանում շարժական գույքի</w:t>
      </w:r>
    </w:p>
    <w:p w14:paraId="07D4A213" w14:textId="77777777" w:rsidR="009B0B57" w:rsidRPr="009B0B57" w:rsidRDefault="009B0B57" w:rsidP="009B0B57">
      <w:pPr>
        <w:spacing w:after="0" w:line="240" w:lineRule="auto"/>
        <w:ind w:firstLine="630"/>
        <w:jc w:val="center"/>
        <w:rPr>
          <w:rFonts w:ascii="GHEA Grapalat" w:eastAsia="Times New Roman" w:hAnsi="GHEA Grapalat" w:cs="Sylfaen"/>
          <w:b/>
          <w:bCs/>
          <w:kern w:val="16"/>
          <w:sz w:val="20"/>
          <w:szCs w:val="20"/>
          <w:lang w:val="hy-AM"/>
          <w14:ligatures w14:val="none"/>
        </w:rPr>
      </w:pPr>
    </w:p>
    <w:tbl>
      <w:tblPr>
        <w:tblW w:w="7759" w:type="dxa"/>
        <w:jc w:val="center"/>
        <w:tblLook w:val="04A0" w:firstRow="1" w:lastRow="0" w:firstColumn="1" w:lastColumn="0" w:noHBand="0" w:noVBand="1"/>
      </w:tblPr>
      <w:tblGrid>
        <w:gridCol w:w="598"/>
        <w:gridCol w:w="3396"/>
        <w:gridCol w:w="2321"/>
        <w:gridCol w:w="1444"/>
      </w:tblGrid>
      <w:tr w:rsidR="009B0B57" w:rsidRPr="00BC1D9F" w14:paraId="0079949D"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035A6F9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Հ/Հ</w:t>
            </w:r>
          </w:p>
        </w:tc>
        <w:tc>
          <w:tcPr>
            <w:tcW w:w="3396" w:type="dxa"/>
            <w:tcBorders>
              <w:top w:val="single" w:sz="4" w:space="0" w:color="auto"/>
              <w:left w:val="nil"/>
              <w:bottom w:val="single" w:sz="4" w:space="0" w:color="auto"/>
              <w:right w:val="single" w:sz="4" w:space="0" w:color="auto"/>
            </w:tcBorders>
            <w:noWrap/>
            <w:vAlign w:val="center"/>
            <w:hideMark/>
          </w:tcPr>
          <w:p w14:paraId="3F77F90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Պահեստամասի անվանումը</w:t>
            </w:r>
          </w:p>
        </w:tc>
        <w:tc>
          <w:tcPr>
            <w:tcW w:w="2321" w:type="dxa"/>
            <w:tcBorders>
              <w:top w:val="single" w:sz="4" w:space="0" w:color="auto"/>
              <w:left w:val="nil"/>
              <w:bottom w:val="single" w:sz="4" w:space="0" w:color="auto"/>
              <w:right w:val="single" w:sz="4" w:space="0" w:color="auto"/>
            </w:tcBorders>
            <w:noWrap/>
            <w:vAlign w:val="center"/>
            <w:hideMark/>
          </w:tcPr>
          <w:p w14:paraId="78986C9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Պատկանելիությունը ըստ ավտեմեքենայի</w:t>
            </w:r>
          </w:p>
        </w:tc>
        <w:tc>
          <w:tcPr>
            <w:tcW w:w="1444" w:type="dxa"/>
            <w:tcBorders>
              <w:top w:val="single" w:sz="4" w:space="0" w:color="auto"/>
              <w:left w:val="nil"/>
              <w:bottom w:val="single" w:sz="4" w:space="0" w:color="auto"/>
              <w:right w:val="single" w:sz="4" w:space="0" w:color="auto"/>
            </w:tcBorders>
            <w:noWrap/>
            <w:vAlign w:val="center"/>
            <w:hideMark/>
          </w:tcPr>
          <w:p w14:paraId="0A8A8C7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Քանակը /հատ/</w:t>
            </w:r>
          </w:p>
        </w:tc>
      </w:tr>
      <w:tr w:rsidR="009B0B57" w:rsidRPr="00BC1D9F" w14:paraId="7B9F6D9E"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346F67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c>
          <w:tcPr>
            <w:tcW w:w="3396" w:type="dxa"/>
            <w:tcBorders>
              <w:top w:val="nil"/>
              <w:left w:val="nil"/>
              <w:bottom w:val="single" w:sz="4" w:space="0" w:color="auto"/>
              <w:right w:val="single" w:sz="4" w:space="0" w:color="auto"/>
            </w:tcBorders>
            <w:noWrap/>
            <w:vAlign w:val="center"/>
            <w:hideMark/>
          </w:tcPr>
          <w:p w14:paraId="646B2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մեխանիզմ</w:t>
            </w:r>
          </w:p>
        </w:tc>
        <w:tc>
          <w:tcPr>
            <w:tcW w:w="2321" w:type="dxa"/>
            <w:tcBorders>
              <w:top w:val="nil"/>
              <w:left w:val="nil"/>
              <w:bottom w:val="single" w:sz="4" w:space="0" w:color="auto"/>
              <w:right w:val="single" w:sz="4" w:space="0" w:color="auto"/>
            </w:tcBorders>
            <w:noWrap/>
            <w:vAlign w:val="center"/>
            <w:hideMark/>
          </w:tcPr>
          <w:p w14:paraId="7DC7E1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831D2A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77B222E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E3D3B5D"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c>
          <w:tcPr>
            <w:tcW w:w="3396" w:type="dxa"/>
            <w:tcBorders>
              <w:top w:val="nil"/>
              <w:left w:val="nil"/>
              <w:bottom w:val="single" w:sz="4" w:space="0" w:color="auto"/>
              <w:right w:val="single" w:sz="4" w:space="0" w:color="auto"/>
            </w:tcBorders>
            <w:noWrap/>
            <w:vAlign w:val="center"/>
            <w:hideMark/>
          </w:tcPr>
          <w:p w14:paraId="7E1B27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ձգանի ծայրակալ</w:t>
            </w:r>
          </w:p>
        </w:tc>
        <w:tc>
          <w:tcPr>
            <w:tcW w:w="2321" w:type="dxa"/>
            <w:tcBorders>
              <w:top w:val="nil"/>
              <w:left w:val="nil"/>
              <w:bottom w:val="single" w:sz="4" w:space="0" w:color="auto"/>
              <w:right w:val="single" w:sz="4" w:space="0" w:color="auto"/>
            </w:tcBorders>
            <w:noWrap/>
            <w:vAlign w:val="center"/>
            <w:hideMark/>
          </w:tcPr>
          <w:p w14:paraId="72B7820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50558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r>
      <w:tr w:rsidR="009B0B57" w:rsidRPr="00BC1D9F" w14:paraId="4B1C5F76"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7F23BE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3</w:t>
            </w:r>
          </w:p>
        </w:tc>
        <w:tc>
          <w:tcPr>
            <w:tcW w:w="3396" w:type="dxa"/>
            <w:tcBorders>
              <w:top w:val="nil"/>
              <w:left w:val="nil"/>
              <w:bottom w:val="single" w:sz="4" w:space="0" w:color="auto"/>
              <w:right w:val="single" w:sz="4" w:space="0" w:color="auto"/>
            </w:tcBorders>
            <w:noWrap/>
            <w:vAlign w:val="center"/>
            <w:hideMark/>
          </w:tcPr>
          <w:p w14:paraId="72F1F9E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հարվածամեղմիչի թաս</w:t>
            </w:r>
          </w:p>
        </w:tc>
        <w:tc>
          <w:tcPr>
            <w:tcW w:w="2321" w:type="dxa"/>
            <w:tcBorders>
              <w:top w:val="nil"/>
              <w:left w:val="nil"/>
              <w:bottom w:val="single" w:sz="4" w:space="0" w:color="auto"/>
              <w:right w:val="single" w:sz="4" w:space="0" w:color="auto"/>
            </w:tcBorders>
            <w:noWrap/>
            <w:vAlign w:val="center"/>
            <w:hideMark/>
          </w:tcPr>
          <w:p w14:paraId="480C974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613D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r>
      <w:tr w:rsidR="009B0B57" w:rsidRPr="00BC1D9F" w14:paraId="61E4344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A87171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4</w:t>
            </w:r>
          </w:p>
        </w:tc>
        <w:tc>
          <w:tcPr>
            <w:tcW w:w="3396" w:type="dxa"/>
            <w:tcBorders>
              <w:top w:val="nil"/>
              <w:left w:val="nil"/>
              <w:bottom w:val="single" w:sz="4" w:space="0" w:color="auto"/>
              <w:right w:val="single" w:sz="4" w:space="0" w:color="auto"/>
            </w:tcBorders>
            <w:noWrap/>
            <w:vAlign w:val="center"/>
            <w:hideMark/>
          </w:tcPr>
          <w:p w14:paraId="4B8DDCC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Անվաբացքի վռան</w:t>
            </w:r>
          </w:p>
        </w:tc>
        <w:tc>
          <w:tcPr>
            <w:tcW w:w="2321" w:type="dxa"/>
            <w:tcBorders>
              <w:top w:val="nil"/>
              <w:left w:val="nil"/>
              <w:bottom w:val="single" w:sz="4" w:space="0" w:color="auto"/>
              <w:right w:val="single" w:sz="4" w:space="0" w:color="auto"/>
            </w:tcBorders>
            <w:noWrap/>
            <w:vAlign w:val="center"/>
            <w:hideMark/>
          </w:tcPr>
          <w:p w14:paraId="1C5B3E5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73747CF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r>
      <w:tr w:rsidR="009B0B57" w:rsidRPr="00BC1D9F" w14:paraId="78CC9248"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0AB6149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5</w:t>
            </w:r>
          </w:p>
        </w:tc>
        <w:tc>
          <w:tcPr>
            <w:tcW w:w="3396" w:type="dxa"/>
            <w:tcBorders>
              <w:top w:val="nil"/>
              <w:left w:val="nil"/>
              <w:bottom w:val="single" w:sz="4" w:space="0" w:color="auto"/>
              <w:right w:val="single" w:sz="4" w:space="0" w:color="auto"/>
            </w:tcBorders>
            <w:noWrap/>
            <w:vAlign w:val="center"/>
            <w:hideMark/>
          </w:tcPr>
          <w:p w14:paraId="06415A7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Փոխանցման տուփի վռան</w:t>
            </w:r>
          </w:p>
        </w:tc>
        <w:tc>
          <w:tcPr>
            <w:tcW w:w="2321" w:type="dxa"/>
            <w:tcBorders>
              <w:top w:val="nil"/>
              <w:left w:val="nil"/>
              <w:bottom w:val="single" w:sz="4" w:space="0" w:color="auto"/>
              <w:right w:val="single" w:sz="4" w:space="0" w:color="auto"/>
            </w:tcBorders>
            <w:noWrap/>
            <w:vAlign w:val="center"/>
            <w:hideMark/>
          </w:tcPr>
          <w:p w14:paraId="1438977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A17A35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5F1D3059"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B14C8D1"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6</w:t>
            </w:r>
          </w:p>
        </w:tc>
        <w:tc>
          <w:tcPr>
            <w:tcW w:w="3396" w:type="dxa"/>
            <w:tcBorders>
              <w:top w:val="nil"/>
              <w:left w:val="nil"/>
              <w:bottom w:val="single" w:sz="4" w:space="0" w:color="auto"/>
              <w:right w:val="single" w:sz="4" w:space="0" w:color="auto"/>
            </w:tcBorders>
            <w:noWrap/>
            <w:vAlign w:val="center"/>
            <w:hideMark/>
          </w:tcPr>
          <w:p w14:paraId="4768F31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հարվածամեղմիչ</w:t>
            </w:r>
          </w:p>
        </w:tc>
        <w:tc>
          <w:tcPr>
            <w:tcW w:w="2321" w:type="dxa"/>
            <w:tcBorders>
              <w:top w:val="nil"/>
              <w:left w:val="nil"/>
              <w:bottom w:val="single" w:sz="4" w:space="0" w:color="auto"/>
              <w:right w:val="single" w:sz="4" w:space="0" w:color="auto"/>
            </w:tcBorders>
            <w:noWrap/>
            <w:vAlign w:val="center"/>
            <w:hideMark/>
          </w:tcPr>
          <w:p w14:paraId="204261D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DAF6C10"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11091E05"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7DD4B6F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7</w:t>
            </w:r>
          </w:p>
        </w:tc>
        <w:tc>
          <w:tcPr>
            <w:tcW w:w="3396" w:type="dxa"/>
            <w:tcBorders>
              <w:top w:val="nil"/>
              <w:left w:val="nil"/>
              <w:bottom w:val="single" w:sz="4" w:space="0" w:color="auto"/>
              <w:right w:val="single" w:sz="4" w:space="0" w:color="auto"/>
            </w:tcBorders>
            <w:noWrap/>
            <w:vAlign w:val="center"/>
            <w:hideMark/>
          </w:tcPr>
          <w:p w14:paraId="647B625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կախոցի լծակ</w:t>
            </w:r>
          </w:p>
        </w:tc>
        <w:tc>
          <w:tcPr>
            <w:tcW w:w="2321" w:type="dxa"/>
            <w:tcBorders>
              <w:top w:val="nil"/>
              <w:left w:val="nil"/>
              <w:bottom w:val="single" w:sz="4" w:space="0" w:color="auto"/>
              <w:right w:val="single" w:sz="4" w:space="0" w:color="auto"/>
            </w:tcBorders>
            <w:noWrap/>
            <w:vAlign w:val="center"/>
            <w:hideMark/>
          </w:tcPr>
          <w:p w14:paraId="6C788A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675FB9D7"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6ECF26C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25D163D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c>
          <w:tcPr>
            <w:tcW w:w="3396" w:type="dxa"/>
            <w:tcBorders>
              <w:top w:val="nil"/>
              <w:left w:val="nil"/>
              <w:bottom w:val="single" w:sz="4" w:space="0" w:color="auto"/>
              <w:right w:val="single" w:sz="4" w:space="0" w:color="auto"/>
            </w:tcBorders>
            <w:noWrap/>
            <w:vAlign w:val="center"/>
            <w:hideMark/>
          </w:tcPr>
          <w:p w14:paraId="6CF0B1A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Շարժիչի բարձիկ</w:t>
            </w:r>
          </w:p>
        </w:tc>
        <w:tc>
          <w:tcPr>
            <w:tcW w:w="2321" w:type="dxa"/>
            <w:tcBorders>
              <w:top w:val="nil"/>
              <w:left w:val="nil"/>
              <w:bottom w:val="single" w:sz="4" w:space="0" w:color="auto"/>
              <w:right w:val="single" w:sz="4" w:space="0" w:color="auto"/>
            </w:tcBorders>
            <w:noWrap/>
            <w:vAlign w:val="center"/>
            <w:hideMark/>
          </w:tcPr>
          <w:p w14:paraId="68DD5A5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0EDFBEC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8</w:t>
            </w:r>
          </w:p>
        </w:tc>
      </w:tr>
      <w:tr w:rsidR="009B0B57" w:rsidRPr="00BC1D9F" w14:paraId="40999B4C"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1C0E927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9</w:t>
            </w:r>
          </w:p>
        </w:tc>
        <w:tc>
          <w:tcPr>
            <w:tcW w:w="3396" w:type="dxa"/>
            <w:tcBorders>
              <w:top w:val="nil"/>
              <w:left w:val="nil"/>
              <w:bottom w:val="single" w:sz="4" w:space="0" w:color="auto"/>
              <w:right w:val="single" w:sz="4" w:space="0" w:color="auto"/>
            </w:tcBorders>
            <w:noWrap/>
            <w:vAlign w:val="center"/>
            <w:hideMark/>
          </w:tcPr>
          <w:p w14:paraId="76154BF9"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Ղեկային համակարգի փոշեթիկնոց</w:t>
            </w:r>
          </w:p>
        </w:tc>
        <w:tc>
          <w:tcPr>
            <w:tcW w:w="2321" w:type="dxa"/>
            <w:tcBorders>
              <w:top w:val="nil"/>
              <w:left w:val="nil"/>
              <w:bottom w:val="single" w:sz="4" w:space="0" w:color="auto"/>
              <w:right w:val="single" w:sz="4" w:space="0" w:color="auto"/>
            </w:tcBorders>
            <w:noWrap/>
            <w:vAlign w:val="center"/>
            <w:hideMark/>
          </w:tcPr>
          <w:p w14:paraId="2A10758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5478E55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3682810"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5FE788D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10</w:t>
            </w:r>
          </w:p>
        </w:tc>
        <w:tc>
          <w:tcPr>
            <w:tcW w:w="3396" w:type="dxa"/>
            <w:tcBorders>
              <w:top w:val="nil"/>
              <w:left w:val="nil"/>
              <w:bottom w:val="single" w:sz="4" w:space="0" w:color="auto"/>
              <w:right w:val="single" w:sz="4" w:space="0" w:color="auto"/>
            </w:tcBorders>
            <w:noWrap/>
            <w:vAlign w:val="center"/>
            <w:hideMark/>
          </w:tcPr>
          <w:p w14:paraId="5079EFA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Առջևի անվակունդի առանցքակալ</w:t>
            </w:r>
          </w:p>
        </w:tc>
        <w:tc>
          <w:tcPr>
            <w:tcW w:w="2321" w:type="dxa"/>
            <w:tcBorders>
              <w:top w:val="nil"/>
              <w:left w:val="nil"/>
              <w:bottom w:val="single" w:sz="4" w:space="0" w:color="auto"/>
              <w:right w:val="single" w:sz="4" w:space="0" w:color="auto"/>
            </w:tcBorders>
            <w:noWrap/>
            <w:vAlign w:val="center"/>
            <w:hideMark/>
          </w:tcPr>
          <w:p w14:paraId="70EBDF6A"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23E6C81E"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2</w:t>
            </w:r>
          </w:p>
        </w:tc>
      </w:tr>
      <w:tr w:rsidR="009B0B57" w:rsidRPr="00BC1D9F" w14:paraId="4438EF0F" w14:textId="77777777" w:rsidTr="00D707F4">
        <w:trPr>
          <w:trHeight w:val="286"/>
          <w:jc w:val="center"/>
        </w:trPr>
        <w:tc>
          <w:tcPr>
            <w:tcW w:w="598" w:type="dxa"/>
            <w:tcBorders>
              <w:top w:val="nil"/>
              <w:left w:val="single" w:sz="4" w:space="0" w:color="auto"/>
              <w:bottom w:val="single" w:sz="4" w:space="0" w:color="auto"/>
              <w:right w:val="single" w:sz="4" w:space="0" w:color="auto"/>
            </w:tcBorders>
            <w:noWrap/>
            <w:vAlign w:val="center"/>
            <w:hideMark/>
          </w:tcPr>
          <w:p w14:paraId="3DD5C388"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11</w:t>
            </w:r>
          </w:p>
        </w:tc>
        <w:tc>
          <w:tcPr>
            <w:tcW w:w="3396" w:type="dxa"/>
            <w:tcBorders>
              <w:top w:val="nil"/>
              <w:left w:val="nil"/>
              <w:bottom w:val="single" w:sz="4" w:space="0" w:color="auto"/>
              <w:right w:val="single" w:sz="4" w:space="0" w:color="auto"/>
            </w:tcBorders>
            <w:noWrap/>
            <w:vAlign w:val="center"/>
            <w:hideMark/>
          </w:tcPr>
          <w:p w14:paraId="4CBB0A7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Օդորակիչի զտիչ</w:t>
            </w:r>
          </w:p>
        </w:tc>
        <w:tc>
          <w:tcPr>
            <w:tcW w:w="2321" w:type="dxa"/>
            <w:tcBorders>
              <w:top w:val="nil"/>
              <w:left w:val="nil"/>
              <w:bottom w:val="single" w:sz="4" w:space="0" w:color="auto"/>
              <w:right w:val="single" w:sz="4" w:space="0" w:color="auto"/>
            </w:tcBorders>
            <w:noWrap/>
            <w:vAlign w:val="center"/>
            <w:hideMark/>
          </w:tcPr>
          <w:p w14:paraId="3E8CDA02"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nil"/>
              <w:left w:val="nil"/>
              <w:bottom w:val="single" w:sz="4" w:space="0" w:color="auto"/>
              <w:right w:val="single" w:sz="4" w:space="0" w:color="auto"/>
            </w:tcBorders>
            <w:noWrap/>
            <w:vAlign w:val="center"/>
            <w:hideMark/>
          </w:tcPr>
          <w:p w14:paraId="3C945EB6"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5117C3D0"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5737F05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lastRenderedPageBreak/>
              <w:t>12</w:t>
            </w:r>
          </w:p>
        </w:tc>
        <w:tc>
          <w:tcPr>
            <w:tcW w:w="3396" w:type="dxa"/>
            <w:tcBorders>
              <w:top w:val="single" w:sz="4" w:space="0" w:color="auto"/>
              <w:left w:val="nil"/>
              <w:bottom w:val="single" w:sz="4" w:space="0" w:color="auto"/>
              <w:right w:val="single" w:sz="4" w:space="0" w:color="auto"/>
            </w:tcBorders>
            <w:noWrap/>
            <w:vAlign w:val="center"/>
            <w:hideMark/>
          </w:tcPr>
          <w:p w14:paraId="180BDD9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Ղեկի ձող</w:t>
            </w:r>
          </w:p>
        </w:tc>
        <w:tc>
          <w:tcPr>
            <w:tcW w:w="2321" w:type="dxa"/>
            <w:tcBorders>
              <w:top w:val="single" w:sz="4" w:space="0" w:color="auto"/>
              <w:left w:val="nil"/>
              <w:bottom w:val="single" w:sz="4" w:space="0" w:color="auto"/>
              <w:right w:val="single" w:sz="4" w:space="0" w:color="auto"/>
            </w:tcBorders>
            <w:noWrap/>
            <w:vAlign w:val="center"/>
            <w:hideMark/>
          </w:tcPr>
          <w:p w14:paraId="1A400B13"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Ալտիմա</w:t>
            </w:r>
          </w:p>
        </w:tc>
        <w:tc>
          <w:tcPr>
            <w:tcW w:w="1444" w:type="dxa"/>
            <w:tcBorders>
              <w:top w:val="single" w:sz="4" w:space="0" w:color="auto"/>
              <w:left w:val="nil"/>
              <w:bottom w:val="single" w:sz="4" w:space="0" w:color="auto"/>
              <w:right w:val="single" w:sz="4" w:space="0" w:color="auto"/>
            </w:tcBorders>
            <w:noWrap/>
            <w:vAlign w:val="center"/>
            <w:hideMark/>
          </w:tcPr>
          <w:p w14:paraId="25F593FF"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r w:rsidR="009B0B57" w:rsidRPr="00BC1D9F" w14:paraId="364F8454" w14:textId="77777777" w:rsidTr="00D707F4">
        <w:trPr>
          <w:trHeight w:val="286"/>
          <w:jc w:val="center"/>
        </w:trPr>
        <w:tc>
          <w:tcPr>
            <w:tcW w:w="598" w:type="dxa"/>
            <w:tcBorders>
              <w:top w:val="single" w:sz="4" w:space="0" w:color="auto"/>
              <w:left w:val="single" w:sz="4" w:space="0" w:color="auto"/>
              <w:bottom w:val="single" w:sz="4" w:space="0" w:color="auto"/>
              <w:right w:val="single" w:sz="4" w:space="0" w:color="auto"/>
            </w:tcBorders>
            <w:noWrap/>
            <w:vAlign w:val="center"/>
            <w:hideMark/>
          </w:tcPr>
          <w:p w14:paraId="17BFDF54"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13</w:t>
            </w:r>
          </w:p>
        </w:tc>
        <w:tc>
          <w:tcPr>
            <w:tcW w:w="3396" w:type="dxa"/>
            <w:tcBorders>
              <w:top w:val="single" w:sz="4" w:space="0" w:color="auto"/>
              <w:left w:val="nil"/>
              <w:bottom w:val="single" w:sz="4" w:space="0" w:color="auto"/>
              <w:right w:val="single" w:sz="4" w:space="0" w:color="auto"/>
            </w:tcBorders>
            <w:noWrap/>
            <w:vAlign w:val="center"/>
            <w:hideMark/>
          </w:tcPr>
          <w:p w14:paraId="36E7480C"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Հետևի ձգաձող (ներքևի)</w:t>
            </w:r>
          </w:p>
        </w:tc>
        <w:tc>
          <w:tcPr>
            <w:tcW w:w="2321" w:type="dxa"/>
            <w:tcBorders>
              <w:top w:val="single" w:sz="4" w:space="0" w:color="auto"/>
              <w:left w:val="nil"/>
              <w:bottom w:val="single" w:sz="4" w:space="0" w:color="auto"/>
              <w:right w:val="single" w:sz="4" w:space="0" w:color="auto"/>
            </w:tcBorders>
            <w:noWrap/>
            <w:vAlign w:val="center"/>
            <w:hideMark/>
          </w:tcPr>
          <w:p w14:paraId="61C3C67B"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Նիսսան Մաքսիմա</w:t>
            </w:r>
          </w:p>
        </w:tc>
        <w:tc>
          <w:tcPr>
            <w:tcW w:w="1444" w:type="dxa"/>
            <w:tcBorders>
              <w:top w:val="single" w:sz="4" w:space="0" w:color="auto"/>
              <w:left w:val="nil"/>
              <w:bottom w:val="single" w:sz="4" w:space="0" w:color="auto"/>
              <w:right w:val="single" w:sz="4" w:space="0" w:color="auto"/>
            </w:tcBorders>
            <w:noWrap/>
            <w:vAlign w:val="center"/>
            <w:hideMark/>
          </w:tcPr>
          <w:p w14:paraId="2EA23985" w14:textId="77777777" w:rsidR="009B0B57" w:rsidRPr="009B0B57" w:rsidRDefault="009B0B57" w:rsidP="009B0B57">
            <w:pPr>
              <w:spacing w:after="0" w:line="240" w:lineRule="auto"/>
              <w:jc w:val="center"/>
              <w:rPr>
                <w:rFonts w:ascii="GHEA Grapalat" w:eastAsia="Times New Roman" w:hAnsi="GHEA Grapalat" w:cs="Sylfaen"/>
                <w:b/>
                <w:bCs/>
                <w:kern w:val="16"/>
                <w:sz w:val="20"/>
                <w:szCs w:val="20"/>
                <w:lang w:val="hy-AM"/>
                <w14:ligatures w14:val="none"/>
              </w:rPr>
            </w:pPr>
            <w:r w:rsidRPr="009B0B57">
              <w:rPr>
                <w:rFonts w:ascii="GHEA Grapalat" w:eastAsia="Times New Roman" w:hAnsi="GHEA Grapalat" w:cs="Sylfaen"/>
                <w:b/>
                <w:bCs/>
                <w:kern w:val="16"/>
                <w:sz w:val="20"/>
                <w:szCs w:val="20"/>
                <w:lang w:val="hy-AM"/>
                <w14:ligatures w14:val="none"/>
              </w:rPr>
              <w:t>1</w:t>
            </w:r>
          </w:p>
        </w:tc>
      </w:tr>
    </w:tbl>
    <w:p w14:paraId="22835E9D" w14:textId="77777777" w:rsidR="00D707F4" w:rsidRDefault="00D707F4" w:rsidP="00A67184">
      <w:pPr>
        <w:spacing w:line="240" w:lineRule="auto"/>
        <w:ind w:left="-284" w:right="-360" w:hanging="256"/>
        <w:jc w:val="both"/>
        <w:rPr>
          <w:rFonts w:ascii="GHEA Grapalat" w:hAnsi="GHEA Grapalat"/>
          <w:b/>
          <w:bCs/>
          <w:i/>
          <w:iCs/>
          <w:sz w:val="18"/>
          <w:szCs w:val="18"/>
        </w:rPr>
      </w:pPr>
    </w:p>
    <w:p w14:paraId="12F20E81" w14:textId="46CF8739"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6B5D106F" w14:textId="77777777" w:rsidR="00A67184" w:rsidRP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174AC4FA" w14:textId="77777777" w:rsidR="00A67184" w:rsidRDefault="00A67184" w:rsidP="00A67184">
      <w:pPr>
        <w:spacing w:line="240" w:lineRule="auto"/>
        <w:ind w:left="-284" w:right="-360" w:hanging="256"/>
        <w:jc w:val="both"/>
        <w:rPr>
          <w:rFonts w:ascii="GHEA Grapalat" w:hAnsi="GHEA Grapalat"/>
          <w:b/>
          <w:bCs/>
          <w:i/>
          <w:iCs/>
          <w:sz w:val="18"/>
          <w:szCs w:val="18"/>
          <w:lang w:val="hy-AM"/>
        </w:rPr>
      </w:pPr>
      <w:r w:rsidRPr="00A67184">
        <w:rPr>
          <w:rFonts w:ascii="GHEA Grapalat" w:hAnsi="GHEA Grapalat"/>
          <w:b/>
          <w:bCs/>
          <w:i/>
          <w:iCs/>
          <w:sz w:val="18"/>
          <w:szCs w:val="18"/>
          <w:lang w:val="hy-AM"/>
        </w:rPr>
        <w:t>*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w:t>
      </w:r>
      <w:r w:rsidR="002F76E3" w:rsidRPr="00382AB7">
        <w:rPr>
          <w:rFonts w:ascii="GHEA Grapalat" w:hAnsi="GHEA Grapalat"/>
          <w:b/>
          <w:bCs/>
          <w:i/>
          <w:iCs/>
          <w:sz w:val="18"/>
          <w:szCs w:val="18"/>
          <w:lang w:val="hy-AM"/>
        </w:rPr>
        <w:t xml:space="preserve">* </w:t>
      </w:r>
    </w:p>
    <w:p w14:paraId="6AD5C212" w14:textId="77777777" w:rsidR="00D97D15" w:rsidRPr="00D97D15" w:rsidRDefault="002F76E3" w:rsidP="00D97D15">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Աճուրդի վերաբերյալ անհրաժեշտ և լրացուցիչ տեղեկատվություն ու տեխնիկական աջակցություն ստանալու համար Մասնակիցները կարող են զանգահարել </w:t>
      </w:r>
      <w:r w:rsidR="00D97D15" w:rsidRPr="00D97D15">
        <w:rPr>
          <w:rFonts w:ascii="GHEA Grapalat" w:hAnsi="GHEA Grapalat"/>
          <w:b/>
          <w:bCs/>
          <w:i/>
          <w:iCs/>
          <w:sz w:val="18"/>
          <w:szCs w:val="18"/>
          <w:lang w:val="hy-AM"/>
        </w:rPr>
        <w:t>091-77-30-04 հեռախոսահամարին կամ այցելել Հայաստանի Հանրապետության ազգային անվտանգության ծառայություն՝ ք</w:t>
      </w:r>
      <w:r w:rsidR="00D97D15" w:rsidRPr="00D97D15">
        <w:rPr>
          <w:rFonts w:ascii="MS Mincho" w:eastAsia="MS Mincho" w:hAnsi="MS Mincho" w:cs="MS Mincho" w:hint="eastAsia"/>
          <w:b/>
          <w:bCs/>
          <w:i/>
          <w:iCs/>
          <w:sz w:val="18"/>
          <w:szCs w:val="18"/>
          <w:lang w:val="hy-AM"/>
        </w:rPr>
        <w:t>․</w:t>
      </w:r>
      <w:r w:rsidR="00D97D15" w:rsidRPr="00D97D15">
        <w:rPr>
          <w:rFonts w:ascii="GHEA Grapalat" w:hAnsi="GHEA Grapalat"/>
          <w:b/>
          <w:bCs/>
          <w:i/>
          <w:iCs/>
          <w:sz w:val="18"/>
          <w:szCs w:val="18"/>
          <w:lang w:val="hy-AM"/>
        </w:rPr>
        <w:t>Երևան Նալբանդյան 104։</w:t>
      </w:r>
    </w:p>
    <w:p w14:paraId="149B7A5D" w14:textId="25832673" w:rsidR="00B077EE"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lastRenderedPageBreak/>
        <w:t>4) հաղթողի կողմից տրված լիազորագիրը (եթե արձանագրությունն ստորագրում է լիազորված անձը):</w:t>
      </w:r>
    </w:p>
    <w:p w14:paraId="18169A05" w14:textId="77777777" w:rsidR="00382AB7" w:rsidRPr="00382AB7" w:rsidRDefault="00382AB7" w:rsidP="00A67184">
      <w:pPr>
        <w:spacing w:after="0" w:line="240" w:lineRule="auto"/>
        <w:ind w:right="-360" w:hanging="256"/>
        <w:jc w:val="both"/>
        <w:rPr>
          <w:rFonts w:ascii="GHEA Grapalat" w:hAnsi="GHEA Grapalat"/>
          <w:i/>
          <w:iCs/>
          <w:sz w:val="18"/>
          <w:szCs w:val="18"/>
          <w:lang w:val="hy-AM"/>
        </w:rPr>
      </w:pPr>
    </w:p>
    <w:p w14:paraId="6AB8485F" w14:textId="32A905F8" w:rsidR="002F76E3"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11970FFC" w:rsidR="00833349" w:rsidRPr="00382AB7" w:rsidRDefault="002F76E3" w:rsidP="00A67184">
      <w:pPr>
        <w:spacing w:line="240" w:lineRule="auto"/>
        <w:ind w:left="-284" w:right="-360" w:hanging="256"/>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9D5048">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D707F4">
        <w:rPr>
          <w:rFonts w:ascii="GHEA Grapalat" w:hAnsi="GHEA Grapalat"/>
          <w:b/>
          <w:bCs/>
          <w:i/>
          <w:iCs/>
          <w:sz w:val="18"/>
          <w:szCs w:val="18"/>
          <w:lang w:val="hy-AM"/>
        </w:rPr>
        <w:t>նոյեմբերի</w:t>
      </w:r>
      <w:r w:rsidR="00833349">
        <w:rPr>
          <w:rFonts w:ascii="GHEA Grapalat" w:hAnsi="GHEA Grapalat"/>
          <w:b/>
          <w:bCs/>
          <w:i/>
          <w:iCs/>
          <w:sz w:val="18"/>
          <w:szCs w:val="18"/>
          <w:lang w:val="hy-AM"/>
        </w:rPr>
        <w:t xml:space="preserve"> </w:t>
      </w:r>
      <w:r w:rsidR="00D707F4">
        <w:rPr>
          <w:rFonts w:ascii="GHEA Grapalat" w:hAnsi="GHEA Grapalat"/>
          <w:b/>
          <w:bCs/>
          <w:i/>
          <w:iCs/>
          <w:sz w:val="18"/>
          <w:szCs w:val="18"/>
          <w:lang w:val="hy-AM"/>
        </w:rPr>
        <w:t>20</w:t>
      </w:r>
      <w:r w:rsidR="00833349" w:rsidRPr="00382AB7">
        <w:rPr>
          <w:rFonts w:ascii="GHEA Grapalat" w:hAnsi="GHEA Grapalat"/>
          <w:b/>
          <w:bCs/>
          <w:i/>
          <w:iCs/>
          <w:sz w:val="18"/>
          <w:szCs w:val="18"/>
          <w:lang w:val="hy-AM"/>
        </w:rPr>
        <w:t xml:space="preserve">-ի թիվ </w:t>
      </w:r>
      <w:r w:rsidR="00D707F4">
        <w:rPr>
          <w:rFonts w:ascii="GHEA Grapalat" w:hAnsi="GHEA Grapalat"/>
          <w:b/>
          <w:bCs/>
          <w:i/>
          <w:iCs/>
          <w:sz w:val="18"/>
          <w:szCs w:val="18"/>
          <w:lang w:val="hy-AM"/>
        </w:rPr>
        <w:t>571</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A67184">
      <w:pPr>
        <w:spacing w:line="240" w:lineRule="auto"/>
        <w:ind w:left="-284" w:right="-360" w:hanging="256"/>
        <w:jc w:val="both"/>
        <w:rPr>
          <w:rFonts w:ascii="GHEA Grapalat" w:hAnsi="GHEA Grapalat"/>
          <w:b/>
          <w:bCs/>
          <w:i/>
          <w:iCs/>
          <w:sz w:val="18"/>
          <w:szCs w:val="18"/>
          <w:lang w:val="hy-AM"/>
        </w:rPr>
      </w:pPr>
    </w:p>
    <w:p w14:paraId="1639F30B" w14:textId="042E4ECA"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A67184">
      <w:pPr>
        <w:spacing w:line="240" w:lineRule="auto"/>
        <w:ind w:left="142"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A67184">
      <w:pPr>
        <w:spacing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A67184">
      <w:pPr>
        <w:tabs>
          <w:tab w:val="left" w:pos="142"/>
        </w:tabs>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lastRenderedPageBreak/>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A67184">
      <w:pPr>
        <w:spacing w:line="240" w:lineRule="auto"/>
        <w:ind w:right="-360" w:hanging="256"/>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A67184">
      <w:pPr>
        <w:spacing w:after="0" w:line="240" w:lineRule="auto"/>
        <w:ind w:right="-360" w:hanging="256"/>
        <w:jc w:val="both"/>
        <w:rPr>
          <w:rFonts w:ascii="GHEA Grapalat" w:hAnsi="GHEA Grapalat"/>
          <w:i/>
          <w:iCs/>
          <w:sz w:val="18"/>
          <w:szCs w:val="18"/>
          <w:lang w:val="hy-AM"/>
        </w:rPr>
      </w:pPr>
    </w:p>
    <w:p w14:paraId="557C951F" w14:textId="53E8AAD2" w:rsidR="002F76E3" w:rsidRPr="00382AB7" w:rsidRDefault="002F76E3" w:rsidP="00A67184">
      <w:pPr>
        <w:spacing w:line="240" w:lineRule="auto"/>
        <w:ind w:left="-284" w:right="-360" w:hanging="256"/>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A67184">
      <w:pPr>
        <w:ind w:right="-360" w:hanging="256"/>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MS Mincho"/>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116B9"/>
    <w:rsid w:val="0002374C"/>
    <w:rsid w:val="00024154"/>
    <w:rsid w:val="00033B91"/>
    <w:rsid w:val="00035BAF"/>
    <w:rsid w:val="00087924"/>
    <w:rsid w:val="000F0DBA"/>
    <w:rsid w:val="000F3E87"/>
    <w:rsid w:val="00114D75"/>
    <w:rsid w:val="00135DA8"/>
    <w:rsid w:val="0013708B"/>
    <w:rsid w:val="00143691"/>
    <w:rsid w:val="00143A84"/>
    <w:rsid w:val="0014480B"/>
    <w:rsid w:val="00152B98"/>
    <w:rsid w:val="0015341F"/>
    <w:rsid w:val="00167445"/>
    <w:rsid w:val="00173AF7"/>
    <w:rsid w:val="0017545F"/>
    <w:rsid w:val="00181C44"/>
    <w:rsid w:val="00183A4C"/>
    <w:rsid w:val="001927E6"/>
    <w:rsid w:val="001970A0"/>
    <w:rsid w:val="001B50DA"/>
    <w:rsid w:val="001E71B2"/>
    <w:rsid w:val="001E74A8"/>
    <w:rsid w:val="00226916"/>
    <w:rsid w:val="00246269"/>
    <w:rsid w:val="0024653B"/>
    <w:rsid w:val="00273948"/>
    <w:rsid w:val="002765A0"/>
    <w:rsid w:val="00297117"/>
    <w:rsid w:val="002A3089"/>
    <w:rsid w:val="002A6D22"/>
    <w:rsid w:val="002B2CE2"/>
    <w:rsid w:val="002D5A31"/>
    <w:rsid w:val="002D7368"/>
    <w:rsid w:val="002E7FF2"/>
    <w:rsid w:val="002F76E3"/>
    <w:rsid w:val="003468F8"/>
    <w:rsid w:val="0035735F"/>
    <w:rsid w:val="00382AB7"/>
    <w:rsid w:val="003A1C50"/>
    <w:rsid w:val="003B218D"/>
    <w:rsid w:val="003B7A1B"/>
    <w:rsid w:val="003E33EA"/>
    <w:rsid w:val="00432C79"/>
    <w:rsid w:val="004338FD"/>
    <w:rsid w:val="00446DD8"/>
    <w:rsid w:val="00457D89"/>
    <w:rsid w:val="00481674"/>
    <w:rsid w:val="00482686"/>
    <w:rsid w:val="00495BEA"/>
    <w:rsid w:val="004A3CF3"/>
    <w:rsid w:val="004D2727"/>
    <w:rsid w:val="004D486E"/>
    <w:rsid w:val="004D4BB0"/>
    <w:rsid w:val="004D7C1B"/>
    <w:rsid w:val="004E2179"/>
    <w:rsid w:val="004F2CE7"/>
    <w:rsid w:val="00572EFA"/>
    <w:rsid w:val="00583423"/>
    <w:rsid w:val="005C4548"/>
    <w:rsid w:val="005D5E9E"/>
    <w:rsid w:val="005F3052"/>
    <w:rsid w:val="005F4B41"/>
    <w:rsid w:val="00614544"/>
    <w:rsid w:val="00622740"/>
    <w:rsid w:val="00634880"/>
    <w:rsid w:val="00683CD2"/>
    <w:rsid w:val="00686647"/>
    <w:rsid w:val="0069729F"/>
    <w:rsid w:val="006D258A"/>
    <w:rsid w:val="006E3818"/>
    <w:rsid w:val="006E6EEE"/>
    <w:rsid w:val="00714C4D"/>
    <w:rsid w:val="00717226"/>
    <w:rsid w:val="007348E0"/>
    <w:rsid w:val="00754926"/>
    <w:rsid w:val="00767A22"/>
    <w:rsid w:val="00781DBF"/>
    <w:rsid w:val="007A63CE"/>
    <w:rsid w:val="007C3DCE"/>
    <w:rsid w:val="007D7C4B"/>
    <w:rsid w:val="007E6A0E"/>
    <w:rsid w:val="007F3ACE"/>
    <w:rsid w:val="00833349"/>
    <w:rsid w:val="00840E32"/>
    <w:rsid w:val="00863CC0"/>
    <w:rsid w:val="00873C05"/>
    <w:rsid w:val="0088458B"/>
    <w:rsid w:val="008D3188"/>
    <w:rsid w:val="008D7529"/>
    <w:rsid w:val="008E39F7"/>
    <w:rsid w:val="008E5EC0"/>
    <w:rsid w:val="008F736B"/>
    <w:rsid w:val="0090218F"/>
    <w:rsid w:val="009403C3"/>
    <w:rsid w:val="009420A8"/>
    <w:rsid w:val="0096287E"/>
    <w:rsid w:val="00975D99"/>
    <w:rsid w:val="009878DB"/>
    <w:rsid w:val="0099767D"/>
    <w:rsid w:val="009B0B57"/>
    <w:rsid w:val="009B4BF0"/>
    <w:rsid w:val="009C490E"/>
    <w:rsid w:val="009D5048"/>
    <w:rsid w:val="009E1D56"/>
    <w:rsid w:val="009E7A9E"/>
    <w:rsid w:val="009F4E59"/>
    <w:rsid w:val="00A20E17"/>
    <w:rsid w:val="00A37762"/>
    <w:rsid w:val="00A52CD0"/>
    <w:rsid w:val="00A56FF7"/>
    <w:rsid w:val="00A67184"/>
    <w:rsid w:val="00A74DBE"/>
    <w:rsid w:val="00A92C43"/>
    <w:rsid w:val="00A9452B"/>
    <w:rsid w:val="00AB2984"/>
    <w:rsid w:val="00AB3CFF"/>
    <w:rsid w:val="00AB701C"/>
    <w:rsid w:val="00AD2794"/>
    <w:rsid w:val="00AD58C2"/>
    <w:rsid w:val="00B077EE"/>
    <w:rsid w:val="00B17CF5"/>
    <w:rsid w:val="00B376D5"/>
    <w:rsid w:val="00B462DE"/>
    <w:rsid w:val="00B70030"/>
    <w:rsid w:val="00B846C0"/>
    <w:rsid w:val="00B84CEB"/>
    <w:rsid w:val="00B87094"/>
    <w:rsid w:val="00B97180"/>
    <w:rsid w:val="00BC0473"/>
    <w:rsid w:val="00BC1D9F"/>
    <w:rsid w:val="00BC2214"/>
    <w:rsid w:val="00BF7F1D"/>
    <w:rsid w:val="00C02E1E"/>
    <w:rsid w:val="00C35635"/>
    <w:rsid w:val="00C57793"/>
    <w:rsid w:val="00C67BBB"/>
    <w:rsid w:val="00CA12FC"/>
    <w:rsid w:val="00CA216E"/>
    <w:rsid w:val="00CC3225"/>
    <w:rsid w:val="00CC38F0"/>
    <w:rsid w:val="00CD2678"/>
    <w:rsid w:val="00CE7833"/>
    <w:rsid w:val="00CF7966"/>
    <w:rsid w:val="00D13DD5"/>
    <w:rsid w:val="00D17312"/>
    <w:rsid w:val="00D50264"/>
    <w:rsid w:val="00D51BCC"/>
    <w:rsid w:val="00D559C1"/>
    <w:rsid w:val="00D64A2F"/>
    <w:rsid w:val="00D67BAC"/>
    <w:rsid w:val="00D707F4"/>
    <w:rsid w:val="00D9273B"/>
    <w:rsid w:val="00D97D15"/>
    <w:rsid w:val="00DE2F38"/>
    <w:rsid w:val="00DF4765"/>
    <w:rsid w:val="00DF66C3"/>
    <w:rsid w:val="00E22626"/>
    <w:rsid w:val="00E30BF5"/>
    <w:rsid w:val="00E3288B"/>
    <w:rsid w:val="00E3475A"/>
    <w:rsid w:val="00E975FA"/>
    <w:rsid w:val="00EA0BD8"/>
    <w:rsid w:val="00EA533F"/>
    <w:rsid w:val="00EB691F"/>
    <w:rsid w:val="00ED5879"/>
    <w:rsid w:val="00EE29D2"/>
    <w:rsid w:val="00EE71D1"/>
    <w:rsid w:val="00F025B2"/>
    <w:rsid w:val="00F03496"/>
    <w:rsid w:val="00F066D6"/>
    <w:rsid w:val="00F46339"/>
    <w:rsid w:val="00F5489D"/>
    <w:rsid w:val="00F66F44"/>
    <w:rsid w:val="00F76A63"/>
    <w:rsid w:val="00FA76A5"/>
    <w:rsid w:val="00FD4562"/>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styleId="a5">
    <w:name w:val="Hyperlink"/>
    <w:basedOn w:val="a0"/>
    <w:uiPriority w:val="99"/>
    <w:unhideWhenUsed/>
    <w:rsid w:val="007D7C4B"/>
    <w:rPr>
      <w:color w:val="0563C1" w:themeColor="hyperlink"/>
      <w:u w:val="single"/>
    </w:rPr>
  </w:style>
  <w:style w:type="character" w:styleId="a6">
    <w:name w:val="Unresolved Mention"/>
    <w:basedOn w:val="a0"/>
    <w:uiPriority w:val="99"/>
    <w:semiHidden/>
    <w:unhideWhenUsed/>
    <w:rsid w:val="007D7C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353</TotalTime>
  <Pages>4</Pages>
  <Words>1641</Words>
  <Characters>9358</Characters>
  <Application>Microsoft Office Word</Application>
  <DocSecurity>0</DocSecurity>
  <Lines>77</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https://mul2-spm.gov.am/tasks/548863/oneclick?token=8a3d5d9ce29392ed669d13b3dbefd1fd</cp:keywords>
  <dc:description/>
  <cp:lastModifiedBy>User</cp:lastModifiedBy>
  <cp:revision>86</cp:revision>
  <dcterms:created xsi:type="dcterms:W3CDTF">2024-12-30T05:51:00Z</dcterms:created>
  <dcterms:modified xsi:type="dcterms:W3CDTF">2026-04-30T11:11:00Z</dcterms:modified>
</cp:coreProperties>
</file>